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B29A" w14:textId="3006FB4A" w:rsidR="00A919BB" w:rsidRPr="009E3FA0" w:rsidRDefault="00A919BB" w:rsidP="009E3F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Protokół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posiedzenia</w:t>
      </w:r>
    </w:p>
    <w:p w14:paraId="086EB3B5" w14:textId="325C20E0" w:rsidR="00A919BB" w:rsidRPr="00A919BB" w:rsidRDefault="00A919BB" w:rsidP="00A919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Gospodarki Komunalnej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RMG</w:t>
      </w:r>
    </w:p>
    <w:p w14:paraId="4EA0A08D" w14:textId="2011673B" w:rsidR="00A919BB" w:rsidRPr="00A919BB" w:rsidRDefault="00A919BB" w:rsidP="009E3F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25 marca 2025 </w:t>
      </w:r>
      <w:r w:rsidR="009E3F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9FFBF69" w14:textId="77777777" w:rsidR="009E3FA0" w:rsidRDefault="009E3FA0" w:rsidP="00A919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ectPr w:rsidR="009E3FA0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2083E6" w14:textId="77777777" w:rsidR="00A919BB" w:rsidRPr="00A919BB" w:rsidRDefault="00A919BB" w:rsidP="00A919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Obecni:</w:t>
      </w:r>
    </w:p>
    <w:p w14:paraId="5E70E240" w14:textId="77777777" w:rsidR="00A919BB" w:rsidRDefault="00A919BB" w:rsidP="00A919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Norbert Anisowicz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Dawid Biernacik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 Łukasz Piesiewicz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Paweł Stolarczyk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5. Agnieszka Tokarska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6. Jakub Ubych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Małgorzata Wójcik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8. Jakub Żynis</w:t>
      </w:r>
    </w:p>
    <w:p w14:paraId="57598F3E" w14:textId="77777777" w:rsidR="006468BC" w:rsidRDefault="006468BC" w:rsidP="00A919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524DB7" w14:textId="77777777" w:rsidR="006468BC" w:rsidRDefault="006468BC" w:rsidP="00A919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Goście: </w:t>
      </w:r>
    </w:p>
    <w:p w14:paraId="1F59A85B" w14:textId="6059A217" w:rsidR="006468BC" w:rsidRDefault="006468BC" w:rsidP="00A919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Wiceprezydent M. Zielonka</w:t>
      </w:r>
    </w:p>
    <w:p w14:paraId="5EF74396" w14:textId="10383994" w:rsidR="006468BC" w:rsidRDefault="006468BC" w:rsidP="00A919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Wiceprezydent R. Geremek </w:t>
      </w:r>
    </w:p>
    <w:p w14:paraId="0F869835" w14:textId="4DBFAACB" w:rsidR="006468BC" w:rsidRDefault="006468BC" w:rsidP="00A919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Skarbnik MG: H. Krupka</w:t>
      </w:r>
    </w:p>
    <w:p w14:paraId="46F2A45B" w14:textId="64AF28AA" w:rsidR="006468BC" w:rsidRDefault="006468BC" w:rsidP="00A919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M. Żurawiecki – Wydział Nadzoru Właścicielskiego UMG</w:t>
      </w:r>
    </w:p>
    <w:p w14:paraId="63C2D0F4" w14:textId="25012E02" w:rsidR="006468BC" w:rsidRDefault="006468BC" w:rsidP="00A919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K. Kowieski – Wydział Gospodarki Nieruchomościami i Geodezji UMG</w:t>
      </w:r>
    </w:p>
    <w:p w14:paraId="1D712664" w14:textId="52362B6B" w:rsidR="006468BC" w:rsidRDefault="006468BC" w:rsidP="00A919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</w:p>
    <w:p w14:paraId="3F8C8986" w14:textId="77777777" w:rsidR="006468BC" w:rsidRPr="00A919BB" w:rsidRDefault="006468BC" w:rsidP="00A919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5EF59C" w14:textId="77777777" w:rsidR="009E3FA0" w:rsidRDefault="009E3FA0" w:rsidP="00A919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ectPr w:rsidR="009E3FA0" w:rsidSect="009E3FA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472FA7A" w14:textId="77777777" w:rsidR="009E3FA0" w:rsidRDefault="009E3FA0" w:rsidP="00A919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C348EC" w14:textId="6FD7DC12" w:rsidR="001A6F4D" w:rsidRDefault="001A6F4D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Porządek posiedzenia:</w:t>
      </w:r>
    </w:p>
    <w:p w14:paraId="7F077970" w14:textId="1A10135B" w:rsidR="008B6BBB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Otwarcie posiedzenia</w:t>
      </w:r>
    </w:p>
    <w:p w14:paraId="1D408E1B" w14:textId="26021A80" w:rsidR="008B6BBB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Przyjęcie porządku obrad</w:t>
      </w:r>
    </w:p>
    <w:p w14:paraId="5EDAAD24" w14:textId="39BF61EA" w:rsidR="008B6BBB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Przyjęcie protokołu z ostatniego posiedzenia</w:t>
      </w:r>
    </w:p>
    <w:p w14:paraId="27E1DC57" w14:textId="7E1C176F" w:rsidR="008B6BBB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Projekty uchwał w sprawach</w:t>
      </w:r>
    </w:p>
    <w:p w14:paraId="105207B8" w14:textId="77777777" w:rsidR="008B6BBB" w:rsidRDefault="008B6B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Wyjaśnienia dot. awarii ciepłowniczej 11 - 12 luty 2025 r.</w:t>
      </w:r>
    </w:p>
    <w:p w14:paraId="0B8E8A04" w14:textId="615271D2" w:rsidR="008B6BBB" w:rsidRDefault="008B6B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Wolne wnioski, sprawy wniesione.</w:t>
      </w:r>
    </w:p>
    <w:p w14:paraId="2EB19FC5" w14:textId="0080AC91" w:rsidR="008B6BBB" w:rsidRDefault="008B6B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7. Ustalenie terminu następnej komisji.</w:t>
      </w:r>
    </w:p>
    <w:p w14:paraId="2EECD30B" w14:textId="00617E23" w:rsidR="008B6BBB" w:rsidRDefault="008B6B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 Zakończenie obrad.</w:t>
      </w:r>
    </w:p>
    <w:p w14:paraId="53811840" w14:textId="26189687" w:rsidR="00774CCA" w:rsidRDefault="008B6B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 1.</w:t>
      </w:r>
      <w:r w:rsidR="006A13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Posiedzenie prowadził p. Norbert Anisowicz, Przewodniczący komisji. Po powitaniu zebranych, stwierdzono prawomocność posiedzenia.</w:t>
      </w:r>
    </w:p>
    <w:p w14:paraId="376AD415" w14:textId="19D6C428" w:rsidR="006A139C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6A13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 2. </w:t>
      </w:r>
      <w:r w:rsidR="006468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Porządek obrad został przyjęty bez zmian.</w:t>
      </w:r>
    </w:p>
    <w:p w14:paraId="4C1BE673" w14:textId="77777777" w:rsidR="006468BC" w:rsidRPr="00501306" w:rsidRDefault="006468BC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8FD3743" w14:textId="77777777" w:rsidR="006468BC" w:rsidRDefault="006468BC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 3. Protokół został przyjęty bez uwag.</w:t>
      </w:r>
    </w:p>
    <w:p w14:paraId="59A075D9" w14:textId="77777777" w:rsidR="006468BC" w:rsidRPr="00501306" w:rsidRDefault="006468BC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12AB2F7" w14:textId="2FB42D28" w:rsidR="006468BC" w:rsidRDefault="006468BC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 4. Zaopiniowano projekty uchwał w sprawach: </w:t>
      </w:r>
    </w:p>
    <w:p w14:paraId="12F4D605" w14:textId="5F9A2F93" w:rsidR="001A6F4D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(projekt nr 1) zmieniająca uchwałę w sprawie uchwalenia budżetu miasta Gdyni na 2025 rok</w:t>
      </w:r>
      <w:r w:rsidR="007E1E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projekt przedstawiła p. Honorata Krupka, Skarbniczka MG</w:t>
      </w:r>
      <w:r w:rsidR="005641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40BBF49" w14:textId="5786555A" w:rsidR="006468BC" w:rsidRDefault="00494943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Zmiany prezentowane w uchwale dot. spraw bieżących oraz środków znaczonych, pozostałych z 2024 r. Środki te zostaną wprowadzone do budżetu na 2025 r. na zadania, na które muszą być przeznaczone. Z rozliczenia roku ubiegłego pozostało 296 820 387,96 zł. (łącznie ze środkami znaczonymi) z czego już w budżecie roku 2025 zostały zaangażowane wolne środki w kwocie 86 113 633,46 zł. oraz lokata długoterminowa, na przełomie lat 73 322 953 zł. Z tytułu gospodarowania odpadami – 34 125 844,09 zł.</w:t>
      </w:r>
      <w:r w:rsidR="00B849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opłaty z tyt. wydawania zezwoleń na sprzedaż wyrobów alkoholowych - 5 760 420,95 zł., dochody z różnych tytułów dot. ochrony środowiska i gospodarki wodnej 5 254 214,40 zł., środki unijne 5.537.355,65 zł. W ramach tych wolnych środków, również w tej uchwale budżetowej</w:t>
      </w:r>
      <w:r w:rsidR="005641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B849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wprowadzamy z powrotem do budżetu niewydatkowane </w:t>
      </w:r>
      <w:r w:rsidR="005641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środki rad dzielnic, które z mocy przepisów nie prolongują na kolejny rok, ale w tym roku, wyjątkowo, zgodziłam się na ich przeniesienie do dyspozycji rad na realizację niewykonanych w 2024 r. zadań. Jest to kwota 469 579 zł. W projekcie są wskazane jednostki, które będą realizować te zadania. Środki z rachunków dochodów własnych, które posiadają nasze jednostki organizacyjne, które nie zostały zrealizowane przez te jednostki, także wracają do budżetu, a jest to kwota 1 079 977 zł. </w:t>
      </w:r>
      <w:r w:rsidR="000A08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 środki – także wyjątkowo – wrócą na rachunki tych </w:t>
      </w:r>
      <w:r w:rsidR="000A08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jednostek. </w:t>
      </w:r>
      <w:r w:rsidR="00E469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Zwroty dotacji z UNICEF, wynikające z poprzedniego okresu projektowego 125 252 zł. Wydatki bieżące, w tym – na instytucje kultury i uzupełnienie płatności</w:t>
      </w:r>
      <w:r w:rsidR="00AF2C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środki wynikające z podwyżek 312 755,60 zł. Pozostała kwota z rozliczenia roku ubiegłego zostanie wprowadzona w kolejnych uchwałach, nad czym już pracujemy. W kwestii dochodów zmieniamy zgodnie z zawiadomieniami Wojewody, zgodnie z trybem realizacji projektów unijnych oraz z bieżącej analizy, tam gdzie mieliśmy wykonanie dochodów bez planu, głównie chodzi o zwroty z różnych prac i płatności, które również wróciły w styczniu do budżetu, są tu wprowadzane właśnie po stronie dochodów. Zwiększamy również dochody z wykonania odsetek z tyt. lokat bankowych o 2 mln zł. </w:t>
      </w:r>
      <w:r w:rsidR="00DE57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strony 19. są wyszczególnione wszystkie pozycje.</w:t>
      </w:r>
      <w:r w:rsidR="005C06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Widzą Państwo także wszystkie pozycje dot. rad dzielnic i jednostek oświatowych. </w:t>
      </w:r>
      <w:r w:rsidR="009E1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Zmiana z autopoprawką dotyczy przeznaczenia dotacji dla PSP i Policji, zgodnie z wnioskami tych jednostek. </w:t>
      </w:r>
      <w:r w:rsidR="005C06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Proszę o pytania.</w:t>
      </w:r>
      <w:r w:rsidR="009E1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EBB5B72" w14:textId="77777777" w:rsidR="00361CAE" w:rsidRDefault="002C7D7A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Łukasz Piesiewicz: rozmawiałem z panią </w:t>
      </w:r>
      <w:r w:rsidR="00361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omendant </w:t>
      </w:r>
      <w:r w:rsidR="00361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Policji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ten temat, wnioskowała ona na dodatkowe środki na zakup pojazdów</w:t>
      </w:r>
      <w:r w:rsidR="004678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które </w:t>
      </w:r>
      <w:r w:rsidR="00361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są</w:t>
      </w:r>
      <w:r w:rsidR="004678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niezbędne do pracy jednostki i z </w:t>
      </w:r>
      <w:r w:rsidR="00361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bólem</w:t>
      </w:r>
      <w:r w:rsidR="004678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serca musi zrezygnować z pierwotnych planów</w:t>
      </w:r>
      <w:r w:rsidR="00361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rzecz zakupu aut. Po rozmowie z panem Sekretarzem Miasta udało się znaleźć pojazdy z majątku miasta, które – jeśli dobrze rozumiem – są na dobrej drodze do przekazania Policji.</w:t>
      </w:r>
    </w:p>
    <w:p w14:paraId="66F84426" w14:textId="3FB18573" w:rsidR="00361CAE" w:rsidRDefault="00361CAE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H. Krupka: nie znam tych ustaleń, natomiast przypominam, że w zeszłym roku wsparliśmy zakup dwóch aut, a nie jest to zadanie Gminy. W </w:t>
      </w:r>
      <w:r w:rsidR="00CD72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uzasadnieniu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wniosku Policja wskazuje, że posiada dwa sonometry </w:t>
      </w:r>
      <w:r w:rsidR="00CD72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nie potrzebują kolejnych. Na pewno społecznie, medialnie i pod względem bezpieczeństwa dobrze byłoby wspierać policję, ale jest to zadanie resortów i Gmina nie powinna wspierać tych instytucji. </w:t>
      </w:r>
    </w:p>
    <w:p w14:paraId="30870B3F" w14:textId="704AA185" w:rsidR="00C913E5" w:rsidRDefault="00C913E5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N. Anisowicz: jestem również członkiem Komisji Samorządności Lokalnej i Bezpieczeństwa, gdzie na posiedzeniu gościła pani Komendant, która podkreślała złą sytuacj</w:t>
      </w:r>
      <w:r w:rsidR="002B24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jednostki pod względem wyposażenia w samochody: na 69 potrzebnych wozów, sprawn</w:t>
      </w:r>
      <w:r w:rsidR="002B24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jest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niecał</w:t>
      </w:r>
      <w:r w:rsidR="002B24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połow</w:t>
      </w:r>
      <w:r w:rsidR="002B24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natomiast zakup apteczek i innego wyposażenia mogą odłożyć w czasie, a skupić się musz</w:t>
      </w:r>
      <w:r w:rsidR="002B24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budowie floty. Nie znam także rozmów z panem Dyrektorem, być może coś się uda zmienić w tej sprawie. A czy deklarowane środki do Budżetu Obywatelskiego, o co wnosiła ta komisja, są teraz procedowane, czy trzeba jeszcze poczekać?</w:t>
      </w:r>
    </w:p>
    <w:p w14:paraId="77050127" w14:textId="77777777" w:rsidR="002132E5" w:rsidRDefault="002132E5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H. Krupka: musze sprawdzić, czy nie zostały już wcześniej te środki uruchomione z rezerwy.</w:t>
      </w:r>
    </w:p>
    <w:p w14:paraId="53A92D65" w14:textId="2682F3AD" w:rsidR="002132E5" w:rsidRDefault="002132E5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Ubych: wolnych środków od kwietnia będzie jeszcze ok. 84 mln. Skoro mamy nadwyżkę w środkach „śmieciowych”, a od 1 kwietnia bramki Ekodoliny zwiększają koszt, więc de facto przez firmy, które na pewno podnoszą, bo tak maj</w:t>
      </w:r>
      <w:r w:rsidR="002B24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przetargu </w:t>
      </w:r>
      <w:r w:rsidR="002B24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będziemy musieli z tej rezerwy pokrywać</w:t>
      </w:r>
      <w:r w:rsidR="002B24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wzrost cen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żeby teraz nie zmieniać stawek. Czy ma Pani symulację, która pokazuje do kiedy wystarczy ta rezerwa, która została wypracowana w poprzednich latach? Czy daje nam tą gwarancję do 1 października, czy do końca roku, czy np. do sierpnia?</w:t>
      </w:r>
    </w:p>
    <w:p w14:paraId="5966BD89" w14:textId="296CF3E7" w:rsidR="002132E5" w:rsidRDefault="002132E5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H. Krupka: nie mam symulacji do którego miesiąca starczy środków, natomiast wiem, że ta nadwyżka zostanie „zjedzona” w tym roku. Środki z nadwyżki nie będą w kwietniu dzielone, </w:t>
      </w:r>
      <w:r w:rsidR="00BB0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już przymiarki w wydziale do przygotowania się budżetowego na podwyżki kosztów.</w:t>
      </w:r>
    </w:p>
    <w:p w14:paraId="5D5E76C8" w14:textId="6BA046BE" w:rsidR="003A5874" w:rsidRDefault="00BB0CE4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Paweł Stolarczyk: </w:t>
      </w:r>
      <w:r w:rsidR="003A58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wydatkach bieżących jest taka pozycja „pozostałe zadania” 3 mln 930 </w:t>
      </w:r>
      <w:r w:rsidR="002B24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tyś</w:t>
      </w:r>
      <w:r w:rsidR="003A58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adaptacja i mitygacja zmian klimatu – proszę o wyjaśnienie, co dokładnie jest przewidziane w ramach tego zadania.</w:t>
      </w:r>
    </w:p>
    <w:p w14:paraId="73CA4E78" w14:textId="56DA01AB" w:rsidR="003A5874" w:rsidRDefault="003A5874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H. Krupka: to są wydatki z wolnych środków z opłat środowiskowych, będących w dyspozycji Wydziału Środowiska, bez konkretnego w tej chwili przeznaczenia. Jeżeli chodzi o pozostałą kwotę z łącznej ponad 5 mln 690 tyś, to: jednostka ZBiLK otrzymuje 1 mln zł. na likwidację  zbiorników bezodpływowych, na badanie środowiska 250 tyś., na edukację ekologiczną </w:t>
      </w:r>
      <w:r w:rsidR="00174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82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222 tyś., na ekspertyzy URE – 30 tyś., Wydział Inwestycji dostaje 1</w:t>
      </w:r>
      <w:r w:rsidR="00174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tys. na pomiary meteorologiczne opadów</w:t>
      </w:r>
      <w:r w:rsidR="00174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(dostawa i montaż urządzeń pomiarowych w rejonie ulicy Chwaszczyńskiej/Zapolskiej do regionalnego systemu monitoringu meteorologicznego i hydrologicznego)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na przyłącza </w:t>
      </w:r>
      <w:r w:rsidR="00174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kanalizacyjne ZKM (kontener przy pętli Pustki Cisowskie) – </w:t>
      </w:r>
      <w:r w:rsidR="00174A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150 tyś.</w:t>
      </w:r>
      <w:r w:rsidR="00CE5C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odławianie dzików -70 tys. To są pieniądze „znaczone”, o których przeznaczeniu decyduje Wydział Środowiska. </w:t>
      </w:r>
    </w:p>
    <w:p w14:paraId="5B6EFB70" w14:textId="065D6393" w:rsidR="00CE5C28" w:rsidRDefault="00CE5C28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 G. Cz. mieszkanka: pojazdy dla służb - mieliśmy wczoraj sesję Rady Dzielnicy Dąbrowa z udziałem panów ze Straży Miejskiej. Czy są jakieś plany na zakup pojazdów dla Straży Miejskiej?</w:t>
      </w:r>
    </w:p>
    <w:p w14:paraId="0A04BD89" w14:textId="77777777" w:rsidR="00CE5C28" w:rsidRDefault="00CE5C28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H. Krupka: maja w tym roku budżet na dwa pojazdy, nie wiem, na jakim etapie przetargowym się znajdują. Straż Miejska sama decyduje, jakie pojazdy chce zakupić.</w:t>
      </w:r>
    </w:p>
    <w:p w14:paraId="00F39A7C" w14:textId="18D91035" w:rsidR="00CE5C28" w:rsidRDefault="00CE5C28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Zamknięcie dyskusji.</w:t>
      </w:r>
    </w:p>
    <w:p w14:paraId="72FCBF11" w14:textId="383C0924" w:rsidR="00774CCA" w:rsidRDefault="00CE5C28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919BB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919BB" w:rsidRPr="00A919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919BB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zmieniająca uchwałę w sprawie uchwalenia budżetu miasta Gdyni na 2025 rok.</w:t>
      </w:r>
    </w:p>
    <w:p w14:paraId="14EA4F03" w14:textId="653AE27D" w:rsidR="001A6F4D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bookmarkStart w:id="0" w:name="_Hlk194320532"/>
      <w:r w:rsidRPr="00A919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1A6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7, PRZECIW: 0, WSTRZYMUJĘ SIĘ: 1, BRAK GŁOSU: 0, NIEOBECNI: 0</w:t>
      </w:r>
      <w:r w:rsidR="001A6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1A6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(7)</w:t>
      </w:r>
      <w:r w:rsidR="001A6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</w:t>
      </w:r>
      <w:r w:rsidR="001A6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Piesiewicz, Agnieszka Tokarska, Jakub Ubych, Małgorzata Wójcik, Jakub Żynis</w:t>
      </w:r>
      <w:r w:rsidR="001A6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WSTRZYMUJĘ SIĘ (1)</w:t>
      </w:r>
      <w:r w:rsidR="001A6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Paweł Stolarczyk</w:t>
      </w:r>
      <w:r w:rsidR="001A6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bookmarkEnd w:id="0"/>
    </w:p>
    <w:p w14:paraId="3F30FACF" w14:textId="19112958" w:rsidR="001A6F4D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zmieniająca uchwałę Rady Miasta w sprawie Wieloletniej Prognozy Finansowej dla Miasta Gdyni na lata 2025 – 2039</w:t>
      </w:r>
      <w:r w:rsidR="00DB48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prezentowała p. H. Krupka, Skarbniczka MG. </w:t>
      </w:r>
      <w:r w:rsidR="00B65B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udzieleniu wyjaśnień nie było pytań.</w:t>
      </w:r>
    </w:p>
    <w:p w14:paraId="7E95B5DF" w14:textId="02114CAA" w:rsidR="00774CCA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919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zmieniająca uchwałę Rady Miasta w sprawie Wieloletniej Prognozy Finansowej dla Miasta Gdyni na lata 2025 – 2039.</w:t>
      </w:r>
    </w:p>
    <w:p w14:paraId="3A6F8FA6" w14:textId="3C6C0F20" w:rsidR="00774CCA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774CCA" w:rsidRPr="00A919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7, PRZECIW: 0, WSTRZYMUJĘ SIĘ: 1, BRAK GŁOSU: 0, NIEOBECNI: 0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(7)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Piesiewicz, Agnieszka Tokarska, Jakub Ubych, Małgorzata Wójcik, Jakub Żynis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WSTRZYMUJĘ SIĘ (1)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Paweł Stolarczyk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7079524" w14:textId="670FDBA3" w:rsidR="00C61368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wyrażenia zgody na odstąpienie od obowiązku przetargowego trybu zawarcia umowy dzierżawy nieruchomości gminnych położonych w Gdyni przy ul. Chwarznieńskiej</w:t>
      </w:r>
      <w:r w:rsidR="00C613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bookmarkStart w:id="1" w:name="_Hlk194413748"/>
      <w:r w:rsidR="00C613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zreferował p. Krzysztof Kowieski, Naczelnik Wydziału Gosp. Nieruchomościami i Geodezji. Bez uwag.</w:t>
      </w:r>
      <w:bookmarkEnd w:id="1"/>
    </w:p>
    <w:p w14:paraId="34CC4415" w14:textId="7DDC1BFB" w:rsidR="00C61368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919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C613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wyrażenia zgody na odstąpienie od obowiązku przetargowego trybu zawarcia umowy dzierżawy nieruchomości gminnych położonych w Gdyni przy ul. Chwarznieńskiej.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774CCA" w:rsidRPr="00A919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7, PRZECIW: 0, WSTRZYMUJĘ SIĘ: 1, BRAK GŁOSU: 0, NIEOBECNI: 0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(7)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Piesiewicz, Agnieszka Tokarska, Jakub Ubych, Małgorzata Wójcik, Jakub Żynis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WSTRZYMUJĘ SIĘ (1)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Paweł Stolarczyk</w:t>
      </w:r>
      <w:r w:rsidR="00C613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487EAF0" w14:textId="74E0970E" w:rsidR="00774CCA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wyrażenia zgody na zbycie nieruchomości, stanowiącej własność Gminy Miasta Gdyni, położonej w Gdyni przy ul. Masztowej (dz. 2842)</w:t>
      </w:r>
      <w:r w:rsidR="00C613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</w:t>
      </w:r>
      <w:r w:rsidR="00C61368" w:rsidRPr="00C613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613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zreferował p. Krzysztof Kowieski, Naczelnik Wydziału Gosp. Nieruchomościami i Geodezji. Bez uwag.</w:t>
      </w:r>
    </w:p>
    <w:p w14:paraId="2EBEE167" w14:textId="0795CE1F" w:rsidR="00C61368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919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wyrażenia zgody na zbycie nieruchomości, stanowiącej własność Gminy Miasta Gdyni, położonej w Gdyni przy ul. Masztowej (dz. 2842),.</w:t>
      </w:r>
    </w:p>
    <w:p w14:paraId="06D2AA85" w14:textId="002A613A" w:rsidR="00774CCA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lastRenderedPageBreak/>
        <w:t>Wyniki głosowania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8, PRZECIW: 0, WSTRZYMUJĘ SIĘ: 0, BRAK GŁOSU: 0, NIEOBECNI: 0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(8)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 Stolarczyk, Agnieszka Tokarska, Jakub Ubych, Małgorzata Wójcik, Jakub Żynis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e) wyrażenia zgody na zbycie nieruchomości, stanowiącej własność Gminy Miasta Gdyni, położonej w Gdyni przy ul. Masztowej (dz. 2845)</w:t>
      </w:r>
      <w:r w:rsidR="00C61368" w:rsidRPr="00C613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613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projekt zreferował p. Krzysztof Kowieski, Naczelnik Wydziału Gosp. Nieruchomościami i Geodezji. Bez uwag.</w:t>
      </w:r>
    </w:p>
    <w:p w14:paraId="3BC0370A" w14:textId="6669E57D" w:rsidR="00774CCA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919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wyrażenia zgody na zbycie nieruchomości, stanowiącej własność Gminy Miasta Gdyni, położonej w Gdyni przy ul. Masztowej (dz. 2845).</w:t>
      </w:r>
    </w:p>
    <w:p w14:paraId="2CEAA7DC" w14:textId="33F502DD" w:rsidR="000C154A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774CCA" w:rsidRPr="00A919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8, PRZECIW: 0, WSTRZYMUJĘ SIĘ: 0, BRAK GŁOSU: 0, NIEOBECNI: 0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(8)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 Stolarczyk, Agnieszka Tokarska, Jakub Ubych, Małgorzata Wójcik, Jakub Żynis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f) wyrażenia zgody na odstąpienie od obowiązku przetargowego trybu zawarcia umowy dzierżawy nieruchomości gminnej położonej w Gdyni przy ul. Augustyna Krauzego</w:t>
      </w:r>
      <w:r w:rsid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projekt zreferował p. Krzysztof Kowieski, Naczelnik Wydziału Gosp. Nieruchomościami i Geodezji</w:t>
      </w:r>
      <w:r w:rsidR="00EA61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E5E8961" w14:textId="7BCA19A4" w:rsidR="00EA611F" w:rsidRDefault="000C154A" w:rsidP="000C15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Przedmiotowa nieruchomość objęta jest miejscowym planem zagospodarowania przestrzennego części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dzielnicy Chwarzno</w:t>
      </w:r>
      <w:r w:rsidR="003728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-Wiczlino w Gdyni, rejon ulic Chwarznieńskiej, A. Krauzego i T. Szewczenki, uchwała nr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XLIV/1351/22 Rady Miasta Gdyni z dnia 31 sierpnia 2022 r. Zgodnie z ustaleniami ww. planu miejscowego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przedmiotowa działka położona jest w granicach terenu przeznaczonego pod usługi sportu i rekreacji, usługi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turystyki, usługi kultury (teren 10, US, UT, UK).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Urzędu Miasta Gdyni wpłynął wniosek od Arki Gdynia S.A. z prośbą o zawarcie umowy dzierżawy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gruntu z przeznaczeniem pod sport i rekreację w celu realizacji kompleksu pełnowymiarowych boisk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piłkarskich. Inwestycja miałaby być współfinansowana z ewentualnie pozyskanych środków centralnych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programów dot. rozwoju infrastruktury sportowej lub innych i własnych środków spółki.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97DA2"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Użytkownikami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wybudowanego kompleksu boisk byliby młodzi piłkarze klubu Arki Gdynia, innych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gdyńskich akademii piłkarskich i mieszkańcy Gdyni.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Gdyńskie Centrum Sportu opiniuje pozytywnie dzierżawę przedmiotowego gruntu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zaznacza, iż obecnie funkcjonujące boiska w Gdynia są maksymalnie wykorzystywane w ramach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obowiązujących grafików, a treningi często prowadzone są równolegle dla dwóch grup na jednym boisku.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Mniejsze gdyńskie boiska przyszkolne spełniają funkcje treningowe, ale z uwagi na niepełny wymiar nie mogą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być wykorzystywane do rozgrywek ligowych, a odbywają się na nich jedynie mecze najmłodszych grup.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Wobec powyższego, realizacja nowych obiektów pełnowymiarowych stworzy warunki do rozwoju dyscypliny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starszych rocznikach oraz sprawi, że gdyńskie kluby staną się bardziej atrakcyjne zarówno pod kątem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szkoleniowym jak i bardziej konkurencyjne w regionie. W zakończonym w lutym br. konkursie na sportowe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szkolenie dzieci i </w:t>
      </w:r>
      <w:r w:rsidR="00A14038"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młodzieży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piłce nożnej w Gdyni, oferty złożyło aż jedenaście </w:t>
      </w:r>
      <w:r w:rsidR="00A14038"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akademii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piłkarskich, które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zgłosiły do szkolenia łącznie 2132 dziewczynek i chłopców. O tym, że to najpopularniejsza dyscyplina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sportowa w Gdyni świadczy fakt, iż w całym sportowym szkoleniu dzieci i młodzieży odnotowano łącznie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6142 zawodniczek i zawodników.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Szczegółowe warunki dzierżawy zostaną określone w zarządzeniu Prezydenta Miasta Gdyni</w:t>
      </w:r>
      <w:r w:rsidR="00297D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C15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ustalenia wykazu nieruchomości przeznaczonej do wydzierżawienia.</w:t>
      </w:r>
      <w:r w:rsidR="00A140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A61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 to umowa dzierżawy, miasto nie partycypuje w budowie obiektów, które tam zamierza zlokalizować inwestor. Dzierżawa oparta będzie o cennik, w którym znajdują się stawki dot. sportu i rekreacji. W każdej umowie dzierżawy znajduje się zapis – i tu także się </w:t>
      </w:r>
      <w:r w:rsidR="00EA61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pojawi – o braku zwrotu poczynionych przez dzierżawce nakładów. Po 15. latach dzierżawy, obiekty wraz z nieruchomością stają się własnością Miasta. </w:t>
      </w:r>
    </w:p>
    <w:p w14:paraId="469CF84A" w14:textId="1B21085D" w:rsidR="00EA611F" w:rsidRDefault="00EA611F" w:rsidP="000C15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Agnieszka Tokarska: Czy w umowie znajdzie się zapis o zobligowaniu dzierżawcy do zachowania staranności w budowie boisk/boiska? Czy dzierżawca będzie zmuszony do wybudowania boiska, nawet, jeśli nie uzyska dotacji? Czy w umowie będzie wskazany termin wykonania inwestycji? </w:t>
      </w:r>
    </w:p>
    <w:p w14:paraId="57F9F3EC" w14:textId="6A842C79" w:rsidR="008852F1" w:rsidRDefault="008852F1" w:rsidP="000C15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K. Kowieski: chcemy w umowie zawrzeć pewne kamienie milowe, z których dzierżawca będzie musiał się wywiązać. Zaznaczam jednak, że zapisy w umowie i jej treść to kompetencja wyłączna Prezydenta Miasta. </w:t>
      </w:r>
    </w:p>
    <w:p w14:paraId="1D943355" w14:textId="6779C088" w:rsidR="00AD6C66" w:rsidRDefault="0001380D" w:rsidP="000C15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Dyr.</w:t>
      </w:r>
      <w:r w:rsidR="008852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Mariusz </w:t>
      </w:r>
      <w:r w:rsidR="00AD6C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Bzdęga</w:t>
      </w:r>
      <w:r w:rsidR="008852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AD6C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patrząc na programy rozwoju infrastruktury piłkarskiej w poprzednich latach, one zobowiązywały beneficjentów do tego, żeby inwestycje polegające na budowie pełnowymiarowych boisk, były realizowane w okresie nie przekraczającym 3 lat.</w:t>
      </w:r>
      <w:r w:rsidR="004A3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D6C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Oczywiście programu </w:t>
      </w:r>
      <w:r w:rsidR="004A3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rozwoju infrastruktury Akademii Piłkarskich </w:t>
      </w:r>
      <w:r w:rsidR="00AD6C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2025 rok jeszcze nie znamy</w:t>
      </w:r>
      <w:r w:rsidR="009051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czekamy na jego ogłoszenie, natomiast można zakładać, że terminy będą podobne. </w:t>
      </w:r>
    </w:p>
    <w:p w14:paraId="10C22B0C" w14:textId="77777777" w:rsidR="009051C8" w:rsidRDefault="009051C8" w:rsidP="000C15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Wiceprezydent Maciej Zielonka: jest dla nas ważne, żeby zabezpieczyć interes miasta w formie odpowiednich zapisów w umowie.</w:t>
      </w:r>
    </w:p>
    <w:p w14:paraId="64A622D3" w14:textId="0964F5F1" w:rsidR="009051C8" w:rsidRDefault="009051C8" w:rsidP="000C15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Żynis: czemu została wskazana akurat ta działka?</w:t>
      </w:r>
    </w:p>
    <w:p w14:paraId="4EC54893" w14:textId="46959E83" w:rsidR="0001380D" w:rsidRDefault="009051C8" w:rsidP="000C15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Wiceprezydent M. Zielonka: </w:t>
      </w:r>
      <w:r w:rsidR="00EB47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 jest teren, który w planie miejscowym jest wskazany m.in. pod usługi sportu. W tym obszarze, obejmującym duż</w:t>
      </w:r>
      <w:r w:rsidR="00483C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EB47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powierzchni</w:t>
      </w:r>
      <w:r w:rsidR="00483C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EB47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planujemy wykorzystać tylko część tej nieruchomości. Ta lokalizacja jest pomiędzy ul. Krauzego a linią energetyczną, w całości proponowana pod dzierżawę na boiska. Tu maksymalnie można zlokalizować 3 boiska, natomiast inwestor może wykonać jedno lub dwa. Lokalizacja jest więc zgodna z planem miejscowym, jest skonsultowana z mieszkańcami</w:t>
      </w:r>
      <w:r w:rsidR="000138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Zachowujemy także strefę buforow</w:t>
      </w:r>
      <w:r w:rsidR="00483C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0138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pomiędzy Trójmiejskim Parkiem Krajobrazowym a ulicami.</w:t>
      </w:r>
    </w:p>
    <w:p w14:paraId="09ECCEF1" w14:textId="09D27B94" w:rsidR="009051C8" w:rsidRDefault="0001380D" w:rsidP="000C15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M. Bzdęga: istotne jest też to, że chcemy, żeby inwestor zbudował boiska pełnowymiarowe, ze względu na to, że gdyby to była pełna realizacja trzech boisk pełnowymiarowych wraz z niezbędn</w:t>
      </w:r>
      <w:r w:rsidR="00483C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infrastrukturą, jak: szatnie, magazyn sportowy, parkingi, to wydaje się, że ta powierzchnia umożliwia taką zabudowę.  </w:t>
      </w:r>
      <w:r w:rsidR="00EB47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0B6D32E" w14:textId="6418C38E" w:rsidR="000B0FBB" w:rsidRDefault="0001380D" w:rsidP="000C15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Jakub Ubych: czy nie zatrzymujemy się trochę w półkroku, ponieważ realizacja boisk wiążę się także z przyłączami wodno – kanalizacyjnymi czy technicznymi, których tam </w:t>
      </w:r>
      <w:r w:rsidR="00BB27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okolicy nie mamy dużo</w:t>
      </w:r>
      <w:r w:rsidR="00483C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B0F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realizując umowę dzierżawy, żeby zapewnić bezpieczeństwo inwestorowi, który będzie musiał występować o pozwolenie na budowę, nie powinien się znaleźć zapis o przyszłych służebnościach dołączenia i uzgodnień z gestorami? Prezentowałem ten plan miejscowy i wiem, że nieruchomość to tylko część terenu pod inwestycje sportowo rekreacyjne, więc rozpoczęcie tam inwestycji daje nam możliwość uporządkowania przyłączy, które będą służyły całemu kompleksowi.</w:t>
      </w:r>
      <w:r w:rsidR="005754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 także rozważyć </w:t>
      </w:r>
      <w:r w:rsidR="00783F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</w:t>
      </w:r>
      <w:r w:rsidR="00483C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783F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dot. </w:t>
      </w:r>
      <w:r w:rsidR="005754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retencj</w:t>
      </w:r>
      <w:r w:rsidR="00783F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5754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wód opadowych na tym terenie i wykorzystanie zbiornika ZDiZ.</w:t>
      </w:r>
    </w:p>
    <w:p w14:paraId="097AAFCE" w14:textId="65D0E83F" w:rsidR="000B0FBB" w:rsidRDefault="000B0FBB" w:rsidP="000C15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K. Kowieski: Przyszły dzierżawca bierze na siebie ryzyko, zapewnienia służebności i koszty tych przyłączeń</w:t>
      </w:r>
      <w:r w:rsidR="005754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Uregulowanie całości nie dotyczy tej uchwały. Nie znamy warunków przyłączeniowych, o które powinien wystąpić inwestor. Możemy w odpowiednim czasie rozmawiać z inwestorem o przebiegu tych przyłączy, wybierając najlepszy wariant. Ale przyjmujemy tę uwagę.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83F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każdym przypadku, gdy inwestor przychodzi do nas </w:t>
      </w:r>
      <w:r w:rsidR="00AE6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budową sieci, pilnujemy, w którym miejscu te sieci są prowadzone, aby np. nie przebiegały przez środek nieruchomości, co komplikuje dalsze działania. </w:t>
      </w:r>
    </w:p>
    <w:p w14:paraId="62EC3B93" w14:textId="0B7B1DDD" w:rsidR="00CB72AB" w:rsidRDefault="00AE6123" w:rsidP="00CB72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Małgorzata Wójcik</w:t>
      </w:r>
      <w:r w:rsidR="00483C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B72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serii pytań uszczegóławiających finansowanie klubu stwierdziła, że ze względu na warunki terenowe, realizacja inwestycji może nie być możliwa w ciągu </w:t>
      </w:r>
      <w:r w:rsidR="00B54AAF" w:rsidRPr="0057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zakładanego</w:t>
      </w:r>
      <w:r w:rsidR="00B54A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B72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podobnych projektach okresu 3-leniego. Zastanawiała się także nad inną, łatwiejsz</w:t>
      </w:r>
      <w:r w:rsidR="00DC28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CB72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zagospodarowania lokalizacj</w:t>
      </w:r>
      <w:r w:rsidR="00DC28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CB72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cele sportowe.</w:t>
      </w:r>
      <w:r w:rsidR="00540A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Pytała także dlaczego dzierżawa a nie sprzedaż.</w:t>
      </w:r>
    </w:p>
    <w:p w14:paraId="018BEAF3" w14:textId="5FD0EF18" w:rsidR="00CB72AB" w:rsidRPr="00B54AAF" w:rsidRDefault="00CB72AB" w:rsidP="00CB72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Dyr. M. Bzdęga wyjaśnił, że nie ma takich terenów, a </w:t>
      </w:r>
      <w:r w:rsidR="00BF6E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zagospodarowanie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sąsiedni</w:t>
      </w:r>
      <w:r w:rsidR="00BF6E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działk</w:t>
      </w:r>
      <w:r w:rsidR="00BF6E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F6ED6" w:rsidRPr="00B54A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zostało zawieszone </w:t>
      </w:r>
      <w:r w:rsidRPr="00B54A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petycj</w:t>
      </w:r>
      <w:r w:rsidR="00BF6ED6" w:rsidRPr="00B54A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B54A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mieszkańców</w:t>
      </w:r>
      <w:r w:rsidR="006B3DA7" w:rsidRPr="00B54A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którzy chcieli, aby był tam teren rekreacyjny</w:t>
      </w:r>
      <w:r w:rsidRPr="00B54A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C2857" w:rsidRPr="00B54A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Chwarznie – Wiczlinie rośnie liczba mieszkańców, dzieci, które tam mieszkają trenują w miejskich UKS-ach, a dla rodziców bliskość i dostępność takiej infrastruktury jest istotna. Nie jest to zagospodarowanie uciążliwe i powinno się spotkać z pozytywnym odbiorem. </w:t>
      </w:r>
      <w:r w:rsidR="00ED154A" w:rsidRPr="00B54A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 będzie obiekt treningowy, a ważne jest, aby przyszli zawodnicy (a jest ich obecnie w Gdyni ok. 2.500) trenowali na boiskach pełnowymiarowych, których jest mało.</w:t>
      </w:r>
      <w:r w:rsidR="009D1083" w:rsidRPr="00B54A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umowy możemy zabezpieczyć możliwość użytkowania przez inne podmioty, w granicach opłacalności dla inwestora.</w:t>
      </w:r>
    </w:p>
    <w:p w14:paraId="45102533" w14:textId="785F6021" w:rsidR="00540A55" w:rsidRDefault="00540A55" w:rsidP="00CB72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K. Kowieski: sprzedaż klubowi tak dużej nieruchomości </w:t>
      </w:r>
      <w:r w:rsidR="009446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(45 tyś m kw)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prawdopodobnie leżałaby poza jego możliwościami finansowymi. </w:t>
      </w:r>
      <w:r w:rsidR="009D1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zamierzenie klubu się powiedzie, to za 15 lat, po okresie dzierżawy, Miasto może zawrzeć kolejną umowę z inwestorem. Dojazd komunikacj</w:t>
      </w:r>
      <w:r w:rsidR="003E2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9D1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publiczn</w:t>
      </w:r>
      <w:r w:rsidR="003E2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9D10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tego terenu jest zabezpieczony – w pobliżu znajduje się przystanek autobusowy.</w:t>
      </w:r>
    </w:p>
    <w:p w14:paraId="3EB90E02" w14:textId="15AF4A7A" w:rsidR="003E2E1F" w:rsidRDefault="003E2E1F" w:rsidP="00CB72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Zdaniem radnej M. Wójcik ingerencja w teren, wokoło</w:t>
      </w:r>
      <w:r w:rsidR="00B54A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54AAF" w:rsidRPr="0057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którego</w:t>
      </w:r>
      <w:r w:rsidR="00B54AAF" w:rsidRPr="00B54AA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dużo nieruchomości niezagospodarowanych, bez dyskusji z rad</w:t>
      </w:r>
      <w:r w:rsidR="0057042C" w:rsidRPr="0057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57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dzielnicy</w:t>
      </w:r>
      <w:r w:rsidR="00B54A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54AAF" w:rsidRPr="0057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B54AAF" w:rsidRPr="00B54AA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bez szerszej dyskusji z mieszkańcami, </w:t>
      </w:r>
      <w:r w:rsidR="00B54AAF" w:rsidRPr="0057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pochopna. </w:t>
      </w:r>
    </w:p>
    <w:p w14:paraId="0B1AE8E7" w14:textId="017229CC" w:rsidR="00540A55" w:rsidRDefault="003E2E1F" w:rsidP="00CB72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Wiceprezydent. M. Zielonka: były dyskusje i konsultacje w 2022 r. kiedy uchwalany był plan miejscowy. </w:t>
      </w:r>
    </w:p>
    <w:p w14:paraId="687C289A" w14:textId="3E35D98D" w:rsidR="003E2E1F" w:rsidRDefault="003E2E1F" w:rsidP="00CB72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Mieszkanka pani G. Cz.</w:t>
      </w:r>
      <w:r w:rsidR="008A7A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Zapytała czy Arka Gdynia we wniosku nie określiła, jaką działkę chce wydzierżawić i czy może zobaczyć ten wniosek. Mieszkanka zarzuciła pracownikom Wydziału Gospodarki Nieruchomościami i Geodezji brak woli w udostepnieniu tego wniosku (datowanego na 11 marca), gdzie raz mówiono o niezwłocznym jej wręczeniu pisma, potem odmówiono. Zdaniem mieszkanki, sprawa była opiniowana 7 marca, a więc przed złożeniem oficjalnego wniosku o dzierżawę.</w:t>
      </w:r>
    </w:p>
    <w:p w14:paraId="3669C10C" w14:textId="16542C5E" w:rsidR="008A7AAE" w:rsidRDefault="008A7AAE" w:rsidP="00CB72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K. Kowieski wyjaśnił, że wniosek zostanie przygotowany zgodnie z procedurą i przekazany w odpowiedzi na złożony wniosek o udostępnienie informacji publicznej. Miasto nie musi reagować w sprawach uznanych za istotne tylko na pisemny wniosek. Rozpoczęto sprawdzanie tematu dzierżawy po spotkaniu, </w:t>
      </w:r>
      <w:r w:rsidR="00445A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przedstawicielami Klubu, którzy prosili o niezwłoczne zajęcie się sprawą, aby móc złożyć wniosek o dofinansowanie. Aby móc ubiegać się o środki zewnętrzne musi posiadać </w:t>
      </w:r>
      <w:r w:rsidR="00384A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</w:t>
      </w:r>
      <w:r w:rsidR="00445A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nieruchomości, </w:t>
      </w:r>
      <w:r w:rsidR="00384A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45A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tym także zawiera się umowa dzierżawy. </w:t>
      </w:r>
      <w:r w:rsidR="00384A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Naczelnik zaproponował mieszkance przekazanie wniosku w kolejnym dniu. Mieszkanka wyraziła zgodę na takie rozwiązanie.</w:t>
      </w:r>
      <w:r w:rsidR="00FC1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3DA9E03" w14:textId="77777777" w:rsidR="008A7AAE" w:rsidRDefault="008A7AAE" w:rsidP="00CB72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C2FC73" w14:textId="1D39055C" w:rsidR="00774CCA" w:rsidRDefault="00A919BB" w:rsidP="000C15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(aneks 1) wyrażenia zgody na odstąpienie od obowiązku przetargowego trybu zawarcia umowy dzierżawy nieruchomości gminnej położonej w Gdyni przy ul. Augustyna Krauzego.</w:t>
      </w:r>
    </w:p>
    <w:p w14:paraId="1E6EF209" w14:textId="57442448" w:rsidR="00774CCA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919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za,: 6, przeciw,: 0, wstrzymuje się: 1, BRAK GŁOSU: 1, NIEOBECNI: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za, (6)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Agnieszka Tokarska, Jakub Ubych, Jakub Żynis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wstrzymuje się (1)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Małgorzata Wójcik</w:t>
      </w:r>
      <w:r w:rsidR="00FC1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 GŁOSU (1)</w:t>
      </w:r>
      <w:r w:rsidR="00774C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Paweł Stolarczyk</w:t>
      </w:r>
      <w:r w:rsidR="00FC1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88B7329" w14:textId="4777026E" w:rsidR="00774CCA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5. </w:t>
      </w:r>
      <w:r w:rsidR="00774CCA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Wyjaśnienia</w:t>
      </w: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dot. awarii ciepłowniczej 11 - 12 luty 2025 r.</w:t>
      </w:r>
    </w:p>
    <w:p w14:paraId="47F9EA85" w14:textId="2D607E3F" w:rsidR="000A6205" w:rsidRDefault="000A6205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 radna Agnieszka Tokarska, na prośbę mieszkańców, skierowała pytania do OPEC i PEWIK w Gdyni dot. awarii ciepłowniczej, która miała miejsce 11 – 12 lutego. Otrzymała odpowiedzi (dostępne na eSesji) i zainicjowała dzisiejszą dyskusję. Radna podkreśliła, że w pismach pytała także o możliwość otrzymania rekompensaty przez poszkodowanych mieszkańców, a także zwróciła uwagę, że za awarie nie odpowiada Miasto tylko spółki prawa handlowego, które realizują swoje zadania założycielskie. </w:t>
      </w:r>
    </w:p>
    <w:p w14:paraId="4FBD78DE" w14:textId="4D4A335B" w:rsidR="00B10BC6" w:rsidRDefault="000A6205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Wiceprezydent Rafał Geremek: ten proces dot. wyjaśnienia przyczyn awarii trwa. Dostaliśmy raport spółki </w:t>
      </w:r>
      <w:r w:rsidR="00A733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objęty jednak tajemnica przedsiębiorstwa, został on skierowany przez Wydział Nadzoru Właścicielskiego do prawników w celu wyjaśnienia tej formuły i czy ona ma w ogóle tu zastosowanie, jeżeli tak, to w jakiej części dokumentu. Skierowaliśmy również poprzez nadzór właścicielski do spółki dodatkowe pytania w celu uzupełnienia tego raportu. Czekamy na odpowiedź i proponowałbym – jeżeli komisja zgodzi się na taki tok postępowania – aby po uzyskaniu wszystkich informacji spotkać się w tym temacie, mając więcej czasu na rozmowę.</w:t>
      </w:r>
      <w:r w:rsidR="00713C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Spotkanie, jeśli będzie taka wola, może odbyć się z udziałem także Komisji Samorządności i Bezpieczeństwa</w:t>
      </w:r>
      <w:r w:rsidR="000F18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aby porozmawiać nie tylko o przyczynach awarii, ale również o bezpieczeństwie dostawy wody i ciepła oraz zapobieganiu takich wydarzeń w przyszłości. </w:t>
      </w:r>
      <w:r w:rsidR="00A366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Odbyło się także spotkanie zainicjowane przez panią Prezydent z udziałem prezesa OPEC, który wyraził wtedy zaskoczenie skalą awarii. Pan Prezes stwierdził, że w jego karierze zawodowej nie spotkał się z sytuacją o takim rozmiarze i tak zaskakującą. Warto więc chyba spojrzeć na te problemy bardziej kompleksowo. Proszę rozważyć moj</w:t>
      </w:r>
      <w:r w:rsidR="00BC7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A366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propozycję.</w:t>
      </w:r>
      <w:r w:rsidR="00BC7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pewno będziemy informować komisję o postępie prac. </w:t>
      </w:r>
    </w:p>
    <w:p w14:paraId="7EF7A211" w14:textId="1138E435" w:rsidR="00A36679" w:rsidRDefault="00944C37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Jakub Ubych wyraził zastrzeżenie co do treści pisma dot. wskazania przyczyny awarii w obniżeniu temperatury:</w:t>
      </w:r>
    </w:p>
    <w:p w14:paraId="61AB2E65" w14:textId="42BD8A12" w:rsidR="00944C37" w:rsidRDefault="00944C37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4C3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7464B442" wp14:editId="58D924BF">
            <wp:extent cx="5760720" cy="570230"/>
            <wp:effectExtent l="0" t="0" r="0" b="1270"/>
            <wp:docPr id="17688307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5A54F" w14:textId="2590A8D5" w:rsidR="00874A4E" w:rsidRDefault="00047A92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systemie ciepłowniczym – zdaniem radnego – działa to zupełnie inaczej. </w:t>
      </w:r>
      <w:r w:rsidR="00EB02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awarie odpowiada przede wszystkim wzrost ciśnienia w rurach wynikający z tego, że na dworze jest </w:t>
      </w:r>
      <w:r w:rsidR="00D531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niższa</w:t>
      </w:r>
      <w:r w:rsidR="00EB02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temperatura</w:t>
      </w:r>
      <w:r w:rsidR="00874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więc trzeba dostarczyć większą ilość megadżuli ciepła do mieszkań. Gwałtowny spadek temperatury, gdyby miał miejsce, mógłby być taką przyczyną punktową.</w:t>
      </w:r>
    </w:p>
    <w:p w14:paraId="3D30A8B2" w14:textId="4605A932" w:rsidR="00874A4E" w:rsidRDefault="00874A4E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_Hlk194660393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Wiceprezydent R. Geremek: </w:t>
      </w:r>
      <w:bookmarkEnd w:id="2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dokładnie takie pytania zadaliśmy, prosząc o podanie parametrów ciśnienia w sieci.</w:t>
      </w:r>
    </w:p>
    <w:p w14:paraId="33701B4A" w14:textId="4300162E" w:rsidR="00874A4E" w:rsidRDefault="00874A4E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J. Ubych: proszę zwrócić uwagę w jakich miejscach były pęknięcia. Gdy były zakręty 90 st. to były pęknięcia na spawach za tymi zakrętami w rurze dostarczającej ciepło. Wynika to z tego, że doszło do rozszczelnienia spawu poprzez wydłużenie rury, która pod wpływem ciepła, może wydłużyć się na odcinku ok. 100 m o 5 mm. Istotna jest tu dynamika spadku temperatury</w:t>
      </w:r>
      <w:r w:rsidR="00175C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amplituda zmienności. Zwiększenie temperatury i ciśnienia wody powodowało, że każde pęknięcie tworzyło się na spawie za załamaniem rury. Dla osób znających się na inżynierii liniowej tak przedstawiona przyczyna awarii jest niepoważna. </w:t>
      </w:r>
    </w:p>
    <w:p w14:paraId="1C6EB12B" w14:textId="3FFCA636" w:rsidR="00175C70" w:rsidRDefault="00175C70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Wiceprezydent R. Geremek: jesteśmy zdeterminowani, aby dojść przyczyny awarii oraz jak unikać tego typu zdarzeń.</w:t>
      </w:r>
      <w:r w:rsidR="00874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Proszę o czas na dogłębne wyjaśnienie sprawy.</w:t>
      </w:r>
      <w:r w:rsidR="00963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mamy żadnych zastrzeżeń co do działań spółki i jej pracowników </w:t>
      </w:r>
      <w:r w:rsidR="00A257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dot.</w:t>
      </w:r>
      <w:r w:rsidR="00963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sposobu usuwania awarii. </w:t>
      </w:r>
    </w:p>
    <w:p w14:paraId="6F2BD739" w14:textId="26929A50" w:rsidR="000E6954" w:rsidRDefault="000E6954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zakończył dyskusję wyrażając nadzieję, że mieszkańcy otrzymają rekompensaty za czas awarii, zgodnie z ustawą. </w:t>
      </w:r>
    </w:p>
    <w:p w14:paraId="49B53528" w14:textId="508AF582" w:rsidR="00774CCA" w:rsidRDefault="00EB028A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A919BB"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6. Wolne wnioski, sprawy wniesione</w:t>
      </w:r>
      <w:r w:rsidR="000E69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brak.</w:t>
      </w:r>
    </w:p>
    <w:p w14:paraId="715C6CCF" w14:textId="415059B4" w:rsidR="00774CCA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Ustalenie terminu następnej komisji</w:t>
      </w:r>
      <w:r w:rsidR="000E69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17 kwietnia, godz. 16.30.</w:t>
      </w:r>
    </w:p>
    <w:p w14:paraId="50B825AF" w14:textId="428E1B44" w:rsidR="00774CCA" w:rsidRDefault="00A919BB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8. Zakończenie obrad.</w:t>
      </w:r>
    </w:p>
    <w:p w14:paraId="493D748E" w14:textId="77777777" w:rsidR="00E66B79" w:rsidRDefault="00A919BB" w:rsidP="00E66B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19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E66B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 komisji</w:t>
      </w:r>
    </w:p>
    <w:p w14:paraId="7931581B" w14:textId="77777777" w:rsidR="00E66B79" w:rsidRDefault="00E66B79" w:rsidP="00E66B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</w:t>
      </w:r>
    </w:p>
    <w:p w14:paraId="34E80268" w14:textId="48C31A15" w:rsidR="00E66B79" w:rsidRPr="00E66B79" w:rsidRDefault="00E66B79" w:rsidP="008B6B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E66B7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Sporządziła: Z. Gawlik BRM</w:t>
      </w:r>
    </w:p>
    <w:sectPr w:rsidR="00E66B79" w:rsidRPr="00E66B79" w:rsidSect="009E3F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80B0D" w14:textId="77777777" w:rsidR="00BA63FF" w:rsidRDefault="00BA63FF" w:rsidP="001C2635">
      <w:pPr>
        <w:spacing w:after="0" w:line="240" w:lineRule="auto"/>
      </w:pPr>
      <w:r>
        <w:separator/>
      </w:r>
    </w:p>
  </w:endnote>
  <w:endnote w:type="continuationSeparator" w:id="0">
    <w:p w14:paraId="7E999FF4" w14:textId="77777777" w:rsidR="00BA63FF" w:rsidRDefault="00BA63FF" w:rsidP="001C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8581904"/>
      <w:docPartObj>
        <w:docPartGallery w:val="Page Numbers (Bottom of Page)"/>
        <w:docPartUnique/>
      </w:docPartObj>
    </w:sdtPr>
    <w:sdtContent>
      <w:p w14:paraId="3EB58A51" w14:textId="639154F3" w:rsidR="001C2635" w:rsidRDefault="001C263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820B1F" w14:textId="77777777" w:rsidR="001C2635" w:rsidRDefault="001C2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6504E" w14:textId="77777777" w:rsidR="00BA63FF" w:rsidRDefault="00BA63FF" w:rsidP="001C2635">
      <w:pPr>
        <w:spacing w:after="0" w:line="240" w:lineRule="auto"/>
      </w:pPr>
      <w:r>
        <w:separator/>
      </w:r>
    </w:p>
  </w:footnote>
  <w:footnote w:type="continuationSeparator" w:id="0">
    <w:p w14:paraId="0167CFAD" w14:textId="77777777" w:rsidR="00BA63FF" w:rsidRDefault="00BA63FF" w:rsidP="001C2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BB"/>
    <w:rsid w:val="0001380D"/>
    <w:rsid w:val="000207F7"/>
    <w:rsid w:val="00047A92"/>
    <w:rsid w:val="000A083D"/>
    <w:rsid w:val="000A6205"/>
    <w:rsid w:val="000B0FBB"/>
    <w:rsid w:val="000C154A"/>
    <w:rsid w:val="000E6954"/>
    <w:rsid w:val="000F18FF"/>
    <w:rsid w:val="001566F3"/>
    <w:rsid w:val="00174AE4"/>
    <w:rsid w:val="00175C70"/>
    <w:rsid w:val="001A6F4D"/>
    <w:rsid w:val="001C2635"/>
    <w:rsid w:val="002132E5"/>
    <w:rsid w:val="00297DA2"/>
    <w:rsid w:val="002B240F"/>
    <w:rsid w:val="002C7D7A"/>
    <w:rsid w:val="003258E2"/>
    <w:rsid w:val="00361CAE"/>
    <w:rsid w:val="00367617"/>
    <w:rsid w:val="003728F4"/>
    <w:rsid w:val="00384ADD"/>
    <w:rsid w:val="003A0A57"/>
    <w:rsid w:val="003A5874"/>
    <w:rsid w:val="003E2E1F"/>
    <w:rsid w:val="00445A6F"/>
    <w:rsid w:val="00457B70"/>
    <w:rsid w:val="004678AF"/>
    <w:rsid w:val="00483CCB"/>
    <w:rsid w:val="00494943"/>
    <w:rsid w:val="004A3D3B"/>
    <w:rsid w:val="004D6A7D"/>
    <w:rsid w:val="00501306"/>
    <w:rsid w:val="00525037"/>
    <w:rsid w:val="00540A55"/>
    <w:rsid w:val="00564153"/>
    <w:rsid w:val="0057042C"/>
    <w:rsid w:val="0057549C"/>
    <w:rsid w:val="00581F6B"/>
    <w:rsid w:val="005848C1"/>
    <w:rsid w:val="005C06AC"/>
    <w:rsid w:val="005D0425"/>
    <w:rsid w:val="006468BC"/>
    <w:rsid w:val="006A139C"/>
    <w:rsid w:val="006B3DA7"/>
    <w:rsid w:val="00713C2D"/>
    <w:rsid w:val="00726C3F"/>
    <w:rsid w:val="007517ED"/>
    <w:rsid w:val="007736D1"/>
    <w:rsid w:val="00774CCA"/>
    <w:rsid w:val="00783FE7"/>
    <w:rsid w:val="0078730D"/>
    <w:rsid w:val="007E1E1A"/>
    <w:rsid w:val="00834BF1"/>
    <w:rsid w:val="00874A4E"/>
    <w:rsid w:val="008852F1"/>
    <w:rsid w:val="008A7AAE"/>
    <w:rsid w:val="008B6BBB"/>
    <w:rsid w:val="009051C8"/>
    <w:rsid w:val="00944646"/>
    <w:rsid w:val="00944C37"/>
    <w:rsid w:val="00963C48"/>
    <w:rsid w:val="009D1083"/>
    <w:rsid w:val="009E19E0"/>
    <w:rsid w:val="009E3FA0"/>
    <w:rsid w:val="00A14038"/>
    <w:rsid w:val="00A25734"/>
    <w:rsid w:val="00A36679"/>
    <w:rsid w:val="00A733D4"/>
    <w:rsid w:val="00A919BB"/>
    <w:rsid w:val="00AA0A48"/>
    <w:rsid w:val="00AA69C6"/>
    <w:rsid w:val="00AD6C66"/>
    <w:rsid w:val="00AE6123"/>
    <w:rsid w:val="00AF2CE7"/>
    <w:rsid w:val="00B10BC6"/>
    <w:rsid w:val="00B54AAF"/>
    <w:rsid w:val="00B65B62"/>
    <w:rsid w:val="00B8499B"/>
    <w:rsid w:val="00BA63FF"/>
    <w:rsid w:val="00BB0CE4"/>
    <w:rsid w:val="00BB27BD"/>
    <w:rsid w:val="00BC7DD7"/>
    <w:rsid w:val="00BF6ED6"/>
    <w:rsid w:val="00C61368"/>
    <w:rsid w:val="00C913E5"/>
    <w:rsid w:val="00CB72AB"/>
    <w:rsid w:val="00CD72DB"/>
    <w:rsid w:val="00CE5C28"/>
    <w:rsid w:val="00D14879"/>
    <w:rsid w:val="00D5070B"/>
    <w:rsid w:val="00D531C3"/>
    <w:rsid w:val="00DB4844"/>
    <w:rsid w:val="00DC2857"/>
    <w:rsid w:val="00DE578B"/>
    <w:rsid w:val="00E46913"/>
    <w:rsid w:val="00E66B79"/>
    <w:rsid w:val="00EA611F"/>
    <w:rsid w:val="00EB028A"/>
    <w:rsid w:val="00EB473F"/>
    <w:rsid w:val="00ED154A"/>
    <w:rsid w:val="00EF3387"/>
    <w:rsid w:val="00F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E8CD"/>
  <w15:chartTrackingRefBased/>
  <w15:docId w15:val="{91A0D61D-7F10-459A-BD69-F9942228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1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1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1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1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1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1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1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1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19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19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19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19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19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19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1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1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1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1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1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19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19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19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1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19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19B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C2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635"/>
  </w:style>
  <w:style w:type="paragraph" w:styleId="Stopka">
    <w:name w:val="footer"/>
    <w:basedOn w:val="Normalny"/>
    <w:link w:val="StopkaZnak"/>
    <w:uiPriority w:val="99"/>
    <w:unhideWhenUsed/>
    <w:rsid w:val="001C2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3334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Gawlik</dc:creator>
  <cp:keywords/>
  <dc:description/>
  <cp:lastModifiedBy>Zofia Gawlik</cp:lastModifiedBy>
  <cp:revision>2</cp:revision>
  <dcterms:created xsi:type="dcterms:W3CDTF">2025-04-08T06:50:00Z</dcterms:created>
  <dcterms:modified xsi:type="dcterms:W3CDTF">2025-04-08T06:50:00Z</dcterms:modified>
</cp:coreProperties>
</file>