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52065" w14:textId="2541D793" w:rsidR="00B516EA" w:rsidRPr="007F28E7" w:rsidRDefault="00B516EA" w:rsidP="00B516EA">
      <w:pPr>
        <w:jc w:val="center"/>
        <w:rPr>
          <w:rFonts w:ascii="Cambria" w:hAnsi="Cambria"/>
          <w:b/>
        </w:rPr>
      </w:pPr>
      <w:r w:rsidRPr="007F28E7">
        <w:rPr>
          <w:rFonts w:ascii="Cambria" w:hAnsi="Cambria"/>
          <w:b/>
        </w:rPr>
        <w:t xml:space="preserve">Uchwała nr </w:t>
      </w:r>
      <w:r w:rsidR="00092609">
        <w:rPr>
          <w:rFonts w:ascii="Cambria" w:hAnsi="Cambria"/>
          <w:b/>
        </w:rPr>
        <w:t>5/2025</w:t>
      </w:r>
    </w:p>
    <w:p w14:paraId="46D8A586" w14:textId="77777777" w:rsidR="00B516EA" w:rsidRPr="007F28E7" w:rsidRDefault="00B516EA" w:rsidP="00B516EA">
      <w:pPr>
        <w:jc w:val="center"/>
        <w:rPr>
          <w:rFonts w:ascii="Cambria" w:hAnsi="Cambria"/>
          <w:b/>
        </w:rPr>
      </w:pPr>
      <w:r w:rsidRPr="007F28E7">
        <w:rPr>
          <w:rFonts w:ascii="Cambria" w:hAnsi="Cambria"/>
          <w:b/>
        </w:rPr>
        <w:t>Komisji Rewizyjnej Rady Miasta Gdyni</w:t>
      </w:r>
    </w:p>
    <w:p w14:paraId="0052CF90" w14:textId="1B9CEB7F" w:rsidR="00B516EA" w:rsidRPr="007F28E7" w:rsidRDefault="00B516EA" w:rsidP="00B516EA">
      <w:pPr>
        <w:jc w:val="center"/>
        <w:rPr>
          <w:rFonts w:ascii="Cambria" w:hAnsi="Cambria"/>
        </w:rPr>
      </w:pPr>
      <w:r w:rsidRPr="007F28E7">
        <w:rPr>
          <w:rFonts w:ascii="Cambria" w:hAnsi="Cambria"/>
          <w:b/>
        </w:rPr>
        <w:t xml:space="preserve">z dnia </w:t>
      </w:r>
      <w:r w:rsidR="00092609" w:rsidRPr="00092609">
        <w:rPr>
          <w:rFonts w:ascii="Cambria" w:hAnsi="Cambria"/>
          <w:b/>
          <w:highlight w:val="yellow"/>
        </w:rPr>
        <w:t>___</w:t>
      </w:r>
      <w:r w:rsidR="00092609">
        <w:rPr>
          <w:rFonts w:ascii="Cambria" w:hAnsi="Cambria"/>
          <w:b/>
        </w:rPr>
        <w:t xml:space="preserve"> </w:t>
      </w:r>
      <w:r>
        <w:rPr>
          <w:rFonts w:ascii="Cambria" w:hAnsi="Cambria"/>
          <w:b/>
        </w:rPr>
        <w:t xml:space="preserve">maja </w:t>
      </w:r>
      <w:r w:rsidRPr="007F28E7">
        <w:rPr>
          <w:rFonts w:ascii="Cambria" w:hAnsi="Cambria"/>
          <w:b/>
        </w:rPr>
        <w:t>202</w:t>
      </w:r>
      <w:r>
        <w:rPr>
          <w:rFonts w:ascii="Cambria" w:hAnsi="Cambria"/>
          <w:b/>
        </w:rPr>
        <w:t xml:space="preserve">5 </w:t>
      </w:r>
      <w:r w:rsidRPr="007F28E7">
        <w:rPr>
          <w:rFonts w:ascii="Cambria" w:hAnsi="Cambria"/>
          <w:b/>
        </w:rPr>
        <w:t>r.</w:t>
      </w:r>
    </w:p>
    <w:p w14:paraId="03F17E8A" w14:textId="77777777" w:rsidR="00B516EA" w:rsidRPr="007F28E7" w:rsidRDefault="00B516EA" w:rsidP="00B516EA">
      <w:pPr>
        <w:rPr>
          <w:rFonts w:ascii="Cambria" w:hAnsi="Cambria"/>
        </w:rPr>
      </w:pPr>
    </w:p>
    <w:p w14:paraId="4E8BD461" w14:textId="4A3A8A0E" w:rsidR="00B516EA" w:rsidRPr="007F28E7" w:rsidRDefault="00B516EA" w:rsidP="00B516EA">
      <w:pPr>
        <w:jc w:val="both"/>
        <w:rPr>
          <w:rFonts w:ascii="Cambria" w:hAnsi="Cambria"/>
          <w:b/>
          <w:i/>
        </w:rPr>
      </w:pPr>
      <w:r w:rsidRPr="007F28E7">
        <w:rPr>
          <w:rFonts w:ascii="Cambria" w:hAnsi="Cambria"/>
          <w:b/>
          <w:i/>
        </w:rPr>
        <w:t xml:space="preserve">w sprawie: </w:t>
      </w:r>
      <w:r w:rsidR="006673BE">
        <w:rPr>
          <w:rFonts w:ascii="Cambria" w:hAnsi="Cambria"/>
          <w:b/>
          <w:i/>
        </w:rPr>
        <w:t xml:space="preserve">przyjęcia </w:t>
      </w:r>
      <w:r w:rsidRPr="007F28E7">
        <w:rPr>
          <w:rFonts w:ascii="Cambria" w:hAnsi="Cambria"/>
          <w:b/>
          <w:i/>
        </w:rPr>
        <w:t xml:space="preserve">opinii dotyczącej wykonania budżetu </w:t>
      </w:r>
      <w:r w:rsidR="00410901">
        <w:rPr>
          <w:rFonts w:ascii="Cambria" w:hAnsi="Cambria"/>
          <w:b/>
          <w:i/>
        </w:rPr>
        <w:t xml:space="preserve">Gminy </w:t>
      </w:r>
      <w:r w:rsidRPr="007F28E7">
        <w:rPr>
          <w:rFonts w:ascii="Cambria" w:hAnsi="Cambria"/>
          <w:b/>
          <w:i/>
        </w:rPr>
        <w:t>Miast</w:t>
      </w:r>
      <w:r w:rsidR="0027361C">
        <w:rPr>
          <w:rFonts w:ascii="Cambria" w:hAnsi="Cambria"/>
          <w:b/>
          <w:i/>
        </w:rPr>
        <w:t>o</w:t>
      </w:r>
      <w:r w:rsidRPr="007F28E7">
        <w:rPr>
          <w:rFonts w:ascii="Cambria" w:hAnsi="Cambria"/>
          <w:b/>
          <w:i/>
        </w:rPr>
        <w:t xml:space="preserve"> Gdyni</w:t>
      </w:r>
      <w:r w:rsidR="0027361C">
        <w:rPr>
          <w:rFonts w:ascii="Cambria" w:hAnsi="Cambria"/>
          <w:b/>
          <w:i/>
        </w:rPr>
        <w:t>a</w:t>
      </w:r>
      <w:r w:rsidRPr="007F28E7">
        <w:rPr>
          <w:rFonts w:ascii="Cambria" w:hAnsi="Cambria"/>
          <w:b/>
          <w:i/>
        </w:rPr>
        <w:t xml:space="preserve"> za 20</w:t>
      </w:r>
      <w:r>
        <w:rPr>
          <w:rFonts w:ascii="Cambria" w:hAnsi="Cambria"/>
          <w:b/>
          <w:i/>
        </w:rPr>
        <w:t>24</w:t>
      </w:r>
      <w:r w:rsidRPr="007F28E7">
        <w:rPr>
          <w:rFonts w:ascii="Cambria" w:hAnsi="Cambria"/>
          <w:b/>
          <w:i/>
        </w:rPr>
        <w:t xml:space="preserve"> r.</w:t>
      </w:r>
    </w:p>
    <w:p w14:paraId="655F78E9" w14:textId="77777777" w:rsidR="00B516EA" w:rsidRPr="007F28E7" w:rsidRDefault="00B516EA" w:rsidP="00B516EA">
      <w:pPr>
        <w:jc w:val="center"/>
        <w:rPr>
          <w:rFonts w:ascii="Cambria" w:hAnsi="Cambria"/>
        </w:rPr>
      </w:pPr>
    </w:p>
    <w:p w14:paraId="1AAE5D29" w14:textId="77777777" w:rsidR="00B516EA" w:rsidRPr="00E96641" w:rsidRDefault="00B516EA" w:rsidP="00B516EA">
      <w:pPr>
        <w:jc w:val="both"/>
        <w:rPr>
          <w:rFonts w:ascii="Cambria" w:hAnsi="Cambria"/>
        </w:rPr>
      </w:pPr>
      <w:r w:rsidRPr="00E96641">
        <w:rPr>
          <w:rFonts w:ascii="Cambria" w:hAnsi="Cambria"/>
        </w:rPr>
        <w:t xml:space="preserve">Na podstawie </w:t>
      </w:r>
      <w:bookmarkStart w:id="0" w:name="_Hlk198107205"/>
      <w:r>
        <w:rPr>
          <w:rFonts w:ascii="Cambria" w:hAnsi="Cambria"/>
        </w:rPr>
        <w:t>art. 1</w:t>
      </w:r>
      <w:r w:rsidRPr="00E96641">
        <w:rPr>
          <w:rFonts w:ascii="Cambria" w:hAnsi="Cambria"/>
        </w:rPr>
        <w:t xml:space="preserve">8a ust. 3 ustawy z dnia 8 marca 1990 r. o samorządzie gminnym (t.j. Dz. U. z 2024 r. poz. </w:t>
      </w:r>
      <w:r>
        <w:rPr>
          <w:rFonts w:ascii="Cambria" w:hAnsi="Cambria"/>
        </w:rPr>
        <w:t>1465 ze zm.</w:t>
      </w:r>
      <w:r>
        <w:rPr>
          <w:rStyle w:val="Odwoanieprzypisudolnego"/>
          <w:rFonts w:ascii="Cambria" w:hAnsi="Cambria"/>
        </w:rPr>
        <w:footnoteReference w:id="1"/>
      </w:r>
      <w:r w:rsidRPr="00E96641">
        <w:rPr>
          <w:rFonts w:ascii="Cambria" w:hAnsi="Cambria"/>
        </w:rPr>
        <w:t>) w związku z art. 270 ust. 2 ustawy z dnia 27 sierpnia 2009 r. o finansach publicznych (</w:t>
      </w:r>
      <w:r w:rsidRPr="00E96641">
        <w:rPr>
          <w:rFonts w:ascii="Cambria" w:hAnsi="Cambria"/>
          <w:color w:val="000000"/>
        </w:rPr>
        <w:t>t.j. Dz.U.</w:t>
      </w:r>
      <w:r>
        <w:rPr>
          <w:rFonts w:ascii="Cambria" w:hAnsi="Cambria"/>
          <w:color w:val="000000"/>
        </w:rPr>
        <w:t xml:space="preserve"> z 2024</w:t>
      </w:r>
      <w:r w:rsidRPr="00E96641">
        <w:rPr>
          <w:rFonts w:ascii="Cambria" w:hAnsi="Cambria"/>
          <w:color w:val="000000"/>
        </w:rPr>
        <w:t xml:space="preserve">r. poz. </w:t>
      </w:r>
      <w:r>
        <w:rPr>
          <w:rFonts w:ascii="Cambria" w:hAnsi="Cambria"/>
          <w:color w:val="000000"/>
        </w:rPr>
        <w:t>1530</w:t>
      </w:r>
      <w:r w:rsidRPr="00E96641">
        <w:rPr>
          <w:rStyle w:val="Odwoanieprzypisudolnego"/>
          <w:rFonts w:ascii="Cambria" w:eastAsiaTheme="majorEastAsia" w:hAnsi="Cambria"/>
          <w:color w:val="000000"/>
        </w:rPr>
        <w:footnoteReference w:id="2"/>
      </w:r>
      <w:r w:rsidRPr="00E96641">
        <w:rPr>
          <w:rFonts w:ascii="Cambria" w:hAnsi="Cambria"/>
        </w:rPr>
        <w:t xml:space="preserve">) </w:t>
      </w:r>
      <w:bookmarkEnd w:id="0"/>
      <w:r w:rsidRPr="00E96641">
        <w:rPr>
          <w:rFonts w:ascii="Cambria" w:hAnsi="Cambria"/>
        </w:rPr>
        <w:t>oraz § 26 ust.</w:t>
      </w:r>
      <w:r>
        <w:rPr>
          <w:rFonts w:ascii="Cambria" w:hAnsi="Cambria"/>
        </w:rPr>
        <w:t xml:space="preserve"> 1 pkt</w:t>
      </w:r>
      <w:r w:rsidRPr="00E96641">
        <w:rPr>
          <w:rFonts w:ascii="Cambria" w:hAnsi="Cambria"/>
        </w:rPr>
        <w:t xml:space="preserve"> 3 Statutu Miasta Gdyni przyjętego uchwałą nr XXIII/489/04 z 22 września 2004 r. (tj. Dz. Urzędowy Województwa Pomorskiego z dnia 13 sierpnia 2019 r. poz. 3804</w:t>
      </w:r>
      <w:r w:rsidRPr="00E96641">
        <w:rPr>
          <w:rStyle w:val="Odwoanieprzypisudolnego"/>
          <w:rFonts w:ascii="Cambria" w:eastAsiaTheme="majorEastAsia" w:hAnsi="Cambria"/>
        </w:rPr>
        <w:footnoteReference w:id="3"/>
      </w:r>
      <w:r w:rsidRPr="00E96641">
        <w:rPr>
          <w:rFonts w:ascii="Cambria" w:hAnsi="Cambria"/>
        </w:rPr>
        <w:t>) Komisja Rewizyjna Rady Miasta Gdyni uchwala co następuje:</w:t>
      </w:r>
    </w:p>
    <w:p w14:paraId="50006F40" w14:textId="77777777" w:rsidR="00B516EA" w:rsidRPr="007F28E7" w:rsidRDefault="00B516EA" w:rsidP="00B516EA">
      <w:pPr>
        <w:jc w:val="both"/>
        <w:rPr>
          <w:rFonts w:ascii="Cambria" w:hAnsi="Cambria"/>
          <w:i/>
          <w:sz w:val="22"/>
          <w:szCs w:val="22"/>
        </w:rPr>
      </w:pPr>
    </w:p>
    <w:p w14:paraId="3BB8BBD9" w14:textId="77777777" w:rsidR="00B516EA" w:rsidRPr="001B1CFF" w:rsidRDefault="00B516EA" w:rsidP="00B516EA">
      <w:pPr>
        <w:jc w:val="center"/>
        <w:rPr>
          <w:rFonts w:ascii="Cambria" w:hAnsi="Cambria"/>
          <w:bCs/>
        </w:rPr>
      </w:pPr>
      <w:r w:rsidRPr="00B2482B">
        <w:rPr>
          <w:rFonts w:ascii="Cambria" w:hAnsi="Cambria"/>
          <w:bCs/>
          <w:sz w:val="22"/>
          <w:szCs w:val="22"/>
        </w:rPr>
        <w:t>§</w:t>
      </w:r>
      <w:r w:rsidRPr="001B1CFF">
        <w:rPr>
          <w:rFonts w:ascii="Cambria" w:hAnsi="Cambria"/>
          <w:bCs/>
        </w:rPr>
        <w:t>1</w:t>
      </w:r>
    </w:p>
    <w:p w14:paraId="390B4641" w14:textId="0D81ACB6" w:rsidR="00B516EA" w:rsidRPr="001B1CFF" w:rsidRDefault="00B516EA" w:rsidP="00B516EA">
      <w:pPr>
        <w:jc w:val="both"/>
        <w:rPr>
          <w:rFonts w:ascii="Cambria" w:hAnsi="Cambria"/>
        </w:rPr>
      </w:pPr>
      <w:bookmarkStart w:id="1" w:name="_Hlk135311951"/>
      <w:r w:rsidRPr="001B1CFF">
        <w:rPr>
          <w:rFonts w:ascii="Cambria" w:hAnsi="Cambria"/>
        </w:rPr>
        <w:t xml:space="preserve">Komisja Rewizyjna Rady Miasta Gdyni po rozpatrzeniu </w:t>
      </w:r>
      <w:r w:rsidR="00410901" w:rsidRPr="001B1CFF">
        <w:rPr>
          <w:rFonts w:ascii="Cambria" w:hAnsi="Cambria"/>
        </w:rPr>
        <w:t>sprawozdania z wykonania  budżetu Gminy Miast</w:t>
      </w:r>
      <w:r w:rsidR="006673BE" w:rsidRPr="001B1CFF">
        <w:rPr>
          <w:rFonts w:ascii="Cambria" w:hAnsi="Cambria"/>
        </w:rPr>
        <w:t>a</w:t>
      </w:r>
      <w:r w:rsidR="00410901" w:rsidRPr="001B1CFF">
        <w:rPr>
          <w:rFonts w:ascii="Cambria" w:hAnsi="Cambria"/>
        </w:rPr>
        <w:t xml:space="preserve"> Gdynia za rok 2024 wraz z opinią Regionalnej Izby Obrachunkowej w Gdańsku z dnia 02 kwietnia 2025 r. Nr 033/p212/R/II/25,  informacji o stanie mienia komunalnego Gminy Miasta Gdyni na dzień 31.12.2024 r. </w:t>
      </w:r>
      <w:r w:rsidRPr="001B1CFF">
        <w:rPr>
          <w:rFonts w:ascii="Cambria" w:hAnsi="Cambria"/>
        </w:rPr>
        <w:t>sprawozdania</w:t>
      </w:r>
      <w:r w:rsidR="00410901" w:rsidRPr="001B1CFF">
        <w:rPr>
          <w:rFonts w:ascii="Cambria" w:hAnsi="Cambria"/>
        </w:rPr>
        <w:t xml:space="preserve"> finansowego, Gminy Miasta Gdynia za 2024r. i  sprawozdania z badania  sprawozdania finansowego z dnia </w:t>
      </w:r>
      <w:r w:rsidR="0004399D">
        <w:rPr>
          <w:rFonts w:ascii="Cambria" w:hAnsi="Cambria"/>
        </w:rPr>
        <w:t>19</w:t>
      </w:r>
      <w:r w:rsidR="00410901" w:rsidRPr="001B1CFF">
        <w:rPr>
          <w:rFonts w:ascii="Cambria" w:hAnsi="Cambria"/>
        </w:rPr>
        <w:t xml:space="preserve"> maja 2025 r.  wykonanego przez </w:t>
      </w:r>
      <w:r w:rsidR="0004399D">
        <w:rPr>
          <w:rFonts w:ascii="Cambria" w:hAnsi="Cambria"/>
        </w:rPr>
        <w:t>Biuro Audytu i Rachunkowości PROMAR spółka z ograniczoną odpowiedzialnością, ul. Władysława IV 43, 81-395 Gdynia</w:t>
      </w:r>
      <w:bookmarkEnd w:id="1"/>
      <w:r w:rsidR="00410901" w:rsidRPr="001B1CFF">
        <w:rPr>
          <w:rFonts w:ascii="Cambria" w:hAnsi="Cambria"/>
        </w:rPr>
        <w:t xml:space="preserve">, </w:t>
      </w:r>
      <w:r w:rsidRPr="001B1CFF">
        <w:rPr>
          <w:rFonts w:ascii="Cambria" w:hAnsi="Cambria"/>
        </w:rPr>
        <w:t>przyjmuje opinię ws. wykonania budżetu za rok 2024</w:t>
      </w:r>
      <w:r w:rsidR="003973EB" w:rsidRPr="001B1CFF">
        <w:rPr>
          <w:rFonts w:ascii="Cambria" w:hAnsi="Cambria"/>
        </w:rPr>
        <w:t xml:space="preserve"> wraz z informa</w:t>
      </w:r>
      <w:r w:rsidR="001B1CFF" w:rsidRPr="001B1CFF">
        <w:rPr>
          <w:rFonts w:ascii="Cambria" w:hAnsi="Cambria"/>
        </w:rPr>
        <w:t>c</w:t>
      </w:r>
      <w:r w:rsidR="003973EB" w:rsidRPr="001B1CFF">
        <w:rPr>
          <w:rFonts w:ascii="Cambria" w:hAnsi="Cambria"/>
        </w:rPr>
        <w:t xml:space="preserve">ją o stanie mienia </w:t>
      </w:r>
      <w:r w:rsidR="0027361C" w:rsidRPr="001B1CFF">
        <w:rPr>
          <w:rFonts w:ascii="Cambria" w:hAnsi="Cambria"/>
        </w:rPr>
        <w:t>komunalnego i objaśnieniami</w:t>
      </w:r>
      <w:r w:rsidRPr="001B1CFF">
        <w:rPr>
          <w:rFonts w:ascii="Cambria" w:hAnsi="Cambria"/>
        </w:rPr>
        <w:t>.</w:t>
      </w:r>
    </w:p>
    <w:p w14:paraId="121C182A" w14:textId="77777777" w:rsidR="00410901" w:rsidRPr="001B1CFF" w:rsidRDefault="00410901" w:rsidP="00B516EA">
      <w:pPr>
        <w:jc w:val="both"/>
        <w:rPr>
          <w:rFonts w:ascii="Cambria" w:hAnsi="Cambria"/>
        </w:rPr>
      </w:pPr>
    </w:p>
    <w:p w14:paraId="16551BE4" w14:textId="77777777" w:rsidR="00B516EA" w:rsidRPr="001B1CFF" w:rsidRDefault="00B516EA" w:rsidP="00B516EA">
      <w:pPr>
        <w:jc w:val="center"/>
        <w:rPr>
          <w:rFonts w:ascii="Cambria" w:hAnsi="Cambria"/>
          <w:bCs/>
        </w:rPr>
      </w:pPr>
      <w:r w:rsidRPr="001B1CFF">
        <w:rPr>
          <w:rFonts w:ascii="Cambria" w:hAnsi="Cambria"/>
          <w:bCs/>
        </w:rPr>
        <w:t>§2</w:t>
      </w:r>
    </w:p>
    <w:p w14:paraId="5B99C8EA" w14:textId="3FDA1E1E" w:rsidR="00410901" w:rsidRPr="001B1CFF" w:rsidRDefault="00410901" w:rsidP="00410901">
      <w:pPr>
        <w:jc w:val="both"/>
        <w:rPr>
          <w:rFonts w:ascii="Cambria" w:hAnsi="Cambria"/>
          <w:bCs/>
        </w:rPr>
      </w:pPr>
      <w:bookmarkStart w:id="2" w:name="_Hlk198273830"/>
      <w:r w:rsidRPr="001B1CFF">
        <w:rPr>
          <w:rFonts w:ascii="Cambria" w:hAnsi="Cambria"/>
          <w:bCs/>
        </w:rPr>
        <w:t>Opinia przyjęta niniejszą uchwałą wraz z wnioskiem Komisji Rewizyjnej w sprawie absolutorium przesłana zostanie Regionalnej Izbie Obrachunkowej w Gdańsku w celu wydania przez nią opinii o wniosku ws. absolutorium</w:t>
      </w:r>
    </w:p>
    <w:bookmarkEnd w:id="2"/>
    <w:p w14:paraId="6A897215" w14:textId="77777777" w:rsidR="00410901" w:rsidRPr="001B1CFF" w:rsidRDefault="00410901" w:rsidP="00410901">
      <w:pPr>
        <w:jc w:val="both"/>
        <w:rPr>
          <w:rFonts w:ascii="Cambria" w:hAnsi="Cambria"/>
        </w:rPr>
      </w:pPr>
    </w:p>
    <w:p w14:paraId="6A2A911E" w14:textId="7CA86230" w:rsidR="00410901" w:rsidRPr="001B1CFF" w:rsidRDefault="00410901" w:rsidP="00410901">
      <w:pPr>
        <w:jc w:val="center"/>
        <w:rPr>
          <w:rFonts w:ascii="Cambria" w:hAnsi="Cambria"/>
          <w:bCs/>
        </w:rPr>
      </w:pPr>
      <w:r w:rsidRPr="001B1CFF">
        <w:rPr>
          <w:rFonts w:ascii="Cambria" w:hAnsi="Cambria"/>
          <w:bCs/>
        </w:rPr>
        <w:t>§3</w:t>
      </w:r>
    </w:p>
    <w:p w14:paraId="5A1BAE17" w14:textId="35EA7D53" w:rsidR="00B516EA" w:rsidRPr="001B1CFF" w:rsidRDefault="00B516EA" w:rsidP="00B516EA">
      <w:pPr>
        <w:jc w:val="both"/>
        <w:rPr>
          <w:rFonts w:ascii="Cambria" w:hAnsi="Cambria"/>
        </w:rPr>
      </w:pPr>
      <w:r w:rsidRPr="001B1CFF">
        <w:rPr>
          <w:rFonts w:ascii="Cambria" w:hAnsi="Cambria"/>
        </w:rPr>
        <w:t>Uchwała wchodzi w życie z dniem podjęcia.</w:t>
      </w:r>
    </w:p>
    <w:p w14:paraId="72F289A6" w14:textId="77777777" w:rsidR="00B516EA" w:rsidRPr="001B1CFF" w:rsidRDefault="00B516EA" w:rsidP="00B516EA">
      <w:pPr>
        <w:jc w:val="both"/>
        <w:rPr>
          <w:rFonts w:ascii="Cambria" w:hAnsi="Cambria"/>
        </w:rPr>
      </w:pPr>
    </w:p>
    <w:p w14:paraId="1A094831" w14:textId="77777777" w:rsidR="00B516EA" w:rsidRPr="001B1CFF" w:rsidRDefault="00B516EA" w:rsidP="00B516EA">
      <w:pPr>
        <w:jc w:val="both"/>
        <w:rPr>
          <w:rFonts w:ascii="Cambria" w:hAnsi="Cambria"/>
        </w:rPr>
      </w:pPr>
    </w:p>
    <w:p w14:paraId="712337B2" w14:textId="77777777" w:rsidR="00B516EA" w:rsidRPr="001B1CFF" w:rsidRDefault="00B516EA" w:rsidP="00B516EA">
      <w:pPr>
        <w:spacing w:line="360" w:lineRule="auto"/>
        <w:jc w:val="right"/>
        <w:rPr>
          <w:rFonts w:ascii="Cambria" w:hAnsi="Cambria"/>
          <w:bCs/>
          <w:i/>
        </w:rPr>
      </w:pPr>
      <w:r w:rsidRPr="001B1CFF">
        <w:rPr>
          <w:rFonts w:ascii="Cambria" w:hAnsi="Cambria"/>
          <w:bCs/>
          <w:i/>
        </w:rPr>
        <w:t>Przewodniczący Komisji Rewizyjnej</w:t>
      </w:r>
    </w:p>
    <w:p w14:paraId="6F1C94D5" w14:textId="77777777" w:rsidR="00B516EA" w:rsidRPr="001B1CFF" w:rsidRDefault="00B516EA" w:rsidP="00B516EA">
      <w:pPr>
        <w:spacing w:line="360" w:lineRule="auto"/>
        <w:jc w:val="right"/>
        <w:rPr>
          <w:rFonts w:ascii="Cambria" w:hAnsi="Cambria"/>
          <w:bCs/>
          <w:i/>
        </w:rPr>
      </w:pPr>
      <w:r w:rsidRPr="001B1CFF">
        <w:rPr>
          <w:rFonts w:ascii="Cambria" w:hAnsi="Cambria"/>
          <w:bCs/>
          <w:i/>
        </w:rPr>
        <w:t>Marek Dudziński</w:t>
      </w:r>
    </w:p>
    <w:p w14:paraId="3686A23F" w14:textId="77777777" w:rsidR="00B516EA" w:rsidRPr="00A97DBE" w:rsidRDefault="00B516EA" w:rsidP="00B516EA">
      <w:pPr>
        <w:spacing w:line="360" w:lineRule="auto"/>
        <w:jc w:val="right"/>
        <w:rPr>
          <w:rFonts w:ascii="Cambria" w:hAnsi="Cambria"/>
          <w:b/>
          <w:i/>
        </w:rPr>
      </w:pPr>
    </w:p>
    <w:p w14:paraId="215E6C0D" w14:textId="77777777" w:rsidR="0027361C" w:rsidRDefault="0027361C" w:rsidP="006673BE">
      <w:pPr>
        <w:jc w:val="center"/>
        <w:rPr>
          <w:rFonts w:ascii="Cambria" w:hAnsi="Cambria"/>
          <w:b/>
        </w:rPr>
      </w:pPr>
    </w:p>
    <w:p w14:paraId="1D16E018" w14:textId="77777777" w:rsidR="0027361C" w:rsidRDefault="0027361C" w:rsidP="006673BE">
      <w:pPr>
        <w:jc w:val="center"/>
        <w:rPr>
          <w:rFonts w:ascii="Cambria" w:hAnsi="Cambria"/>
          <w:b/>
        </w:rPr>
      </w:pPr>
    </w:p>
    <w:p w14:paraId="7A57133C" w14:textId="77777777" w:rsidR="001B1CFF" w:rsidRDefault="001B1CFF" w:rsidP="006673BE">
      <w:pPr>
        <w:jc w:val="center"/>
        <w:rPr>
          <w:rFonts w:ascii="Cambria" w:hAnsi="Cambria"/>
          <w:b/>
        </w:rPr>
      </w:pPr>
    </w:p>
    <w:p w14:paraId="3B04A88F" w14:textId="77777777" w:rsidR="001B1CFF" w:rsidRDefault="001B1CFF" w:rsidP="006673BE">
      <w:pPr>
        <w:jc w:val="center"/>
        <w:rPr>
          <w:rFonts w:ascii="Cambria" w:hAnsi="Cambria"/>
          <w:b/>
        </w:rPr>
      </w:pPr>
    </w:p>
    <w:p w14:paraId="29D36156" w14:textId="77777777" w:rsidR="001B1CFF" w:rsidRDefault="001B1CFF" w:rsidP="006673BE">
      <w:pPr>
        <w:jc w:val="center"/>
        <w:rPr>
          <w:rFonts w:ascii="Cambria" w:hAnsi="Cambria"/>
          <w:b/>
        </w:rPr>
      </w:pPr>
    </w:p>
    <w:p w14:paraId="0629360D" w14:textId="77777777" w:rsidR="001B1CFF" w:rsidRDefault="001B1CFF" w:rsidP="006673BE">
      <w:pPr>
        <w:jc w:val="center"/>
        <w:rPr>
          <w:rFonts w:ascii="Cambria" w:hAnsi="Cambria"/>
          <w:b/>
        </w:rPr>
      </w:pPr>
    </w:p>
    <w:p w14:paraId="2A2A1FDB" w14:textId="77777777" w:rsidR="001B1CFF" w:rsidRDefault="001B1CFF" w:rsidP="006673BE">
      <w:pPr>
        <w:jc w:val="center"/>
        <w:rPr>
          <w:rFonts w:ascii="Cambria" w:hAnsi="Cambria"/>
          <w:b/>
        </w:rPr>
      </w:pPr>
    </w:p>
    <w:p w14:paraId="13953890" w14:textId="77777777" w:rsidR="001B1CFF" w:rsidRDefault="001B1CFF" w:rsidP="006673BE">
      <w:pPr>
        <w:jc w:val="center"/>
        <w:rPr>
          <w:rFonts w:ascii="Cambria" w:hAnsi="Cambria"/>
          <w:b/>
        </w:rPr>
      </w:pPr>
    </w:p>
    <w:p w14:paraId="60171523" w14:textId="77777777" w:rsidR="001B1CFF" w:rsidRDefault="001B1CFF" w:rsidP="006673BE">
      <w:pPr>
        <w:jc w:val="center"/>
        <w:rPr>
          <w:rFonts w:ascii="Cambria" w:hAnsi="Cambria"/>
          <w:b/>
        </w:rPr>
      </w:pPr>
    </w:p>
    <w:p w14:paraId="085A4E67" w14:textId="5EA7A2A2" w:rsidR="006673BE" w:rsidRPr="007F28E7" w:rsidRDefault="006673BE" w:rsidP="006673BE">
      <w:pPr>
        <w:jc w:val="center"/>
        <w:rPr>
          <w:rFonts w:ascii="Cambria" w:hAnsi="Cambria"/>
          <w:b/>
        </w:rPr>
      </w:pPr>
      <w:r w:rsidRPr="007F28E7">
        <w:rPr>
          <w:rFonts w:ascii="Cambria" w:hAnsi="Cambria"/>
          <w:b/>
        </w:rPr>
        <w:t>UZASADNIENIE</w:t>
      </w:r>
    </w:p>
    <w:p w14:paraId="0B7E730E" w14:textId="77777777" w:rsidR="006673BE" w:rsidRPr="007F28E7" w:rsidRDefault="006673BE" w:rsidP="006673BE">
      <w:pPr>
        <w:jc w:val="center"/>
        <w:rPr>
          <w:rFonts w:ascii="Cambria" w:hAnsi="Cambria"/>
          <w:b/>
        </w:rPr>
      </w:pPr>
    </w:p>
    <w:p w14:paraId="4DC94634" w14:textId="4455B3F9" w:rsidR="006673BE" w:rsidRPr="0027361C" w:rsidRDefault="006673BE" w:rsidP="0027361C">
      <w:pPr>
        <w:jc w:val="both"/>
        <w:rPr>
          <w:rFonts w:ascii="Cambria" w:hAnsi="Cambria"/>
        </w:rPr>
      </w:pPr>
      <w:r w:rsidRPr="007F28E7">
        <w:rPr>
          <w:rFonts w:ascii="Cambria" w:hAnsi="Cambria"/>
        </w:rPr>
        <w:t xml:space="preserve">Zgodnie ze Statutem Miasta Gdyni </w:t>
      </w:r>
      <w:r w:rsidR="009271A2">
        <w:rPr>
          <w:rFonts w:ascii="Cambria" w:hAnsi="Cambria"/>
        </w:rPr>
        <w:t xml:space="preserve"> ( </w:t>
      </w:r>
      <w:r w:rsidR="009271A2" w:rsidRPr="00E96641">
        <w:rPr>
          <w:rFonts w:ascii="Cambria" w:hAnsi="Cambria"/>
        </w:rPr>
        <w:t>§ 26 ust.</w:t>
      </w:r>
      <w:r w:rsidR="009271A2">
        <w:rPr>
          <w:rFonts w:ascii="Cambria" w:hAnsi="Cambria"/>
        </w:rPr>
        <w:t xml:space="preserve"> 1 pkt</w:t>
      </w:r>
      <w:r w:rsidR="009271A2" w:rsidRPr="00E96641">
        <w:rPr>
          <w:rFonts w:ascii="Cambria" w:hAnsi="Cambria"/>
        </w:rPr>
        <w:t xml:space="preserve"> 3 Statutu Miasta Gdyni przyjętego uchwałą nr XXIII/489/04 z 22 września 2004 r.</w:t>
      </w:r>
      <w:r w:rsidR="009271A2">
        <w:rPr>
          <w:rFonts w:ascii="Cambria" w:hAnsi="Cambria"/>
        </w:rPr>
        <w:t xml:space="preserve">) </w:t>
      </w:r>
      <w:r w:rsidRPr="007F28E7">
        <w:rPr>
          <w:rFonts w:ascii="Cambria" w:hAnsi="Cambria"/>
        </w:rPr>
        <w:t xml:space="preserve">do zadań komisji stałych należy m.in. opiniowanie działalności Prezydenta Miasta i ocena funkcjonowania Miasta, w zakresie właściwym dla komisji oraz przedstawianie wniosków Radzie. </w:t>
      </w:r>
      <w:r>
        <w:rPr>
          <w:rFonts w:ascii="Cambria" w:hAnsi="Cambria"/>
        </w:rPr>
        <w:t xml:space="preserve"> </w:t>
      </w:r>
      <w:r w:rsidR="009271A2">
        <w:rPr>
          <w:rFonts w:ascii="Cambria" w:hAnsi="Cambria"/>
        </w:rPr>
        <w:t xml:space="preserve"> Ustawa </w:t>
      </w:r>
      <w:r w:rsidR="009271A2" w:rsidRPr="00E96641">
        <w:rPr>
          <w:rFonts w:ascii="Cambria" w:hAnsi="Cambria"/>
        </w:rPr>
        <w:t xml:space="preserve">z dnia 8 marca 1990 r. o samorządzie gminnym (t.j. Dz. U. z 2024 r. poz. </w:t>
      </w:r>
      <w:r w:rsidR="009271A2">
        <w:rPr>
          <w:rFonts w:ascii="Cambria" w:hAnsi="Cambria"/>
        </w:rPr>
        <w:t>1465 ze zm.</w:t>
      </w:r>
      <w:r w:rsidR="009271A2">
        <w:rPr>
          <w:rStyle w:val="Odwoanieprzypisudolnego"/>
          <w:rFonts w:ascii="Cambria" w:hAnsi="Cambria"/>
        </w:rPr>
        <w:footnoteReference w:id="4"/>
      </w:r>
      <w:r w:rsidR="009271A2" w:rsidRPr="00E96641">
        <w:rPr>
          <w:rFonts w:ascii="Cambria" w:hAnsi="Cambria"/>
        </w:rPr>
        <w:t xml:space="preserve">) </w:t>
      </w:r>
      <w:r w:rsidR="009271A2">
        <w:rPr>
          <w:rFonts w:ascii="Cambria" w:hAnsi="Cambria"/>
        </w:rPr>
        <w:t>w art. 18 a ust.3 stanowi, iż zadaniem k</w:t>
      </w:r>
      <w:r w:rsidRPr="007F28E7">
        <w:rPr>
          <w:rFonts w:ascii="Cambria" w:hAnsi="Cambria"/>
        </w:rPr>
        <w:t>omisj</w:t>
      </w:r>
      <w:r w:rsidR="009271A2">
        <w:rPr>
          <w:rFonts w:ascii="Cambria" w:hAnsi="Cambria"/>
        </w:rPr>
        <w:t>i</w:t>
      </w:r>
      <w:r w:rsidRPr="007F28E7">
        <w:rPr>
          <w:rFonts w:ascii="Cambria" w:hAnsi="Cambria"/>
        </w:rPr>
        <w:t xml:space="preserve"> rewizyjn</w:t>
      </w:r>
      <w:r w:rsidR="009271A2">
        <w:rPr>
          <w:rFonts w:ascii="Cambria" w:hAnsi="Cambria"/>
        </w:rPr>
        <w:t xml:space="preserve">ych rad  gmin  jest </w:t>
      </w:r>
      <w:r w:rsidRPr="007F28E7">
        <w:rPr>
          <w:rFonts w:ascii="Cambria" w:hAnsi="Cambria"/>
        </w:rPr>
        <w:t xml:space="preserve"> opini</w:t>
      </w:r>
      <w:r w:rsidR="009271A2">
        <w:rPr>
          <w:rFonts w:ascii="Cambria" w:hAnsi="Cambria"/>
        </w:rPr>
        <w:t xml:space="preserve">owanie </w:t>
      </w:r>
      <w:r w:rsidRPr="007F28E7">
        <w:rPr>
          <w:rFonts w:ascii="Cambria" w:hAnsi="Cambria"/>
        </w:rPr>
        <w:t>wykonanie budżetu gminy</w:t>
      </w:r>
      <w:r w:rsidR="009271A2">
        <w:rPr>
          <w:rFonts w:ascii="Cambria" w:hAnsi="Cambria"/>
        </w:rPr>
        <w:t>.</w:t>
      </w:r>
      <w:r w:rsidR="001B1CFF">
        <w:rPr>
          <w:rFonts w:ascii="Cambria" w:hAnsi="Cambria"/>
        </w:rPr>
        <w:t xml:space="preserve"> </w:t>
      </w:r>
      <w:r w:rsidR="009271A2">
        <w:rPr>
          <w:rFonts w:ascii="Cambria" w:hAnsi="Cambria"/>
        </w:rPr>
        <w:t>Wyrażenie tej opinii jest elementem procedury udzielenia organowi wykonawczemu gminy absolutorium. Opinia ta jest przedstawiana Regionalnej Izbie Obrachunkowej  wraz z wnioskiem komisji rewizyjnej ws. udzielenia absolutorium. Dlatego koniecznym jest wyrażenie przez komisję jej opinii o wykonaniu budżetu</w:t>
      </w:r>
      <w:r w:rsidR="001B1CFF">
        <w:rPr>
          <w:rFonts w:ascii="Cambria" w:hAnsi="Cambria"/>
        </w:rPr>
        <w:t xml:space="preserve"> za rok 2024</w:t>
      </w:r>
      <w:r w:rsidR="009271A2">
        <w:rPr>
          <w:rFonts w:ascii="Cambria" w:hAnsi="Cambria"/>
        </w:rPr>
        <w:t xml:space="preserve">. Opinia stanowi załącznik do niniejszej uchwały.  Przed wyrażeniem swojej opinii komisja rewizyjna , </w:t>
      </w:r>
      <w:r w:rsidR="009271A2" w:rsidRPr="0027361C">
        <w:rPr>
          <w:rFonts w:ascii="Cambria" w:hAnsi="Cambria"/>
        </w:rPr>
        <w:t>mają</w:t>
      </w:r>
      <w:r w:rsidR="0027361C" w:rsidRPr="0027361C">
        <w:rPr>
          <w:rFonts w:ascii="Cambria" w:hAnsi="Cambria"/>
        </w:rPr>
        <w:t>c</w:t>
      </w:r>
      <w:r w:rsidR="009271A2" w:rsidRPr="0027361C">
        <w:rPr>
          <w:rFonts w:ascii="Cambria" w:hAnsi="Cambria"/>
        </w:rPr>
        <w:t xml:space="preserve"> na względzie uregulowanie art. 270 ust.2 ustawy z dnia 27 sierpnia 2009 r. o finansach publicznych (</w:t>
      </w:r>
      <w:r w:rsidR="009271A2" w:rsidRPr="0027361C">
        <w:rPr>
          <w:rFonts w:ascii="Cambria" w:hAnsi="Cambria"/>
          <w:color w:val="000000"/>
        </w:rPr>
        <w:t>t.j. Dz.U. z 2024r. poz. 1530</w:t>
      </w:r>
      <w:r w:rsidR="009271A2" w:rsidRPr="0027361C">
        <w:rPr>
          <w:rFonts w:ascii="Cambria" w:hAnsi="Cambria"/>
        </w:rPr>
        <w:t>) rozpatrzyła  także opinię Regionalnej Izby Obrachunkowej w Gdańsku z dnia 02 kwietnia 2025 r. Nr 033/p212/R/II/25 w sprawie sprawozdania z wykonania budżetu Gminy Miasto  Gdynia,  informacj</w:t>
      </w:r>
      <w:r w:rsidR="001B1CFF">
        <w:rPr>
          <w:rFonts w:ascii="Cambria" w:hAnsi="Cambria"/>
        </w:rPr>
        <w:t>ę</w:t>
      </w:r>
      <w:r w:rsidR="009271A2" w:rsidRPr="0027361C">
        <w:rPr>
          <w:rFonts w:ascii="Cambria" w:hAnsi="Cambria"/>
        </w:rPr>
        <w:t xml:space="preserve"> o stanie mienia komunalnego Gminy Miasta Gdyni na dzień 31.12.2024 r. </w:t>
      </w:r>
      <w:r w:rsidR="0027361C" w:rsidRPr="0027361C">
        <w:rPr>
          <w:rFonts w:ascii="Cambria" w:hAnsi="Cambria"/>
        </w:rPr>
        <w:t xml:space="preserve">jak również  rozpatrzyła </w:t>
      </w:r>
      <w:r w:rsidR="009271A2" w:rsidRPr="0027361C">
        <w:rPr>
          <w:rFonts w:ascii="Cambria" w:hAnsi="Cambria"/>
        </w:rPr>
        <w:t>sprawozdani</w:t>
      </w:r>
      <w:r w:rsidR="0027361C" w:rsidRPr="0027361C">
        <w:rPr>
          <w:rFonts w:ascii="Cambria" w:hAnsi="Cambria"/>
        </w:rPr>
        <w:t>e</w:t>
      </w:r>
      <w:r w:rsidR="009271A2" w:rsidRPr="0027361C">
        <w:rPr>
          <w:rFonts w:ascii="Cambria" w:hAnsi="Cambria"/>
        </w:rPr>
        <w:t xml:space="preserve"> finansowe Gminy Miasta Gdynia za 2024r. i  sprawozdani</w:t>
      </w:r>
      <w:r w:rsidR="0027361C" w:rsidRPr="0027361C">
        <w:rPr>
          <w:rFonts w:ascii="Cambria" w:hAnsi="Cambria"/>
        </w:rPr>
        <w:t>e</w:t>
      </w:r>
      <w:r w:rsidR="009271A2" w:rsidRPr="0027361C">
        <w:rPr>
          <w:rFonts w:ascii="Cambria" w:hAnsi="Cambria"/>
        </w:rPr>
        <w:t xml:space="preserve"> z badania</w:t>
      </w:r>
      <w:r w:rsidR="0027361C" w:rsidRPr="0027361C">
        <w:rPr>
          <w:rFonts w:ascii="Cambria" w:hAnsi="Cambria"/>
        </w:rPr>
        <w:t xml:space="preserve"> tego</w:t>
      </w:r>
      <w:r w:rsidR="009271A2" w:rsidRPr="0027361C">
        <w:rPr>
          <w:rFonts w:ascii="Cambria" w:hAnsi="Cambria"/>
        </w:rPr>
        <w:t xml:space="preserve">  sprawozdania finansowego z dnia </w:t>
      </w:r>
      <w:r w:rsidR="0004399D">
        <w:rPr>
          <w:rFonts w:ascii="Cambria" w:hAnsi="Cambria"/>
        </w:rPr>
        <w:t>19</w:t>
      </w:r>
      <w:r w:rsidR="009271A2" w:rsidRPr="0027361C">
        <w:rPr>
          <w:rFonts w:ascii="Cambria" w:hAnsi="Cambria"/>
        </w:rPr>
        <w:t xml:space="preserve"> maja 2025 r.  wykonanego przez </w:t>
      </w:r>
      <w:r w:rsidR="0004399D">
        <w:rPr>
          <w:rFonts w:ascii="Cambria" w:hAnsi="Cambria"/>
        </w:rPr>
        <w:t>Biuro Audytu i Rachunkowości PROMAR spółka z ograniczoną odpowiedzialnością, ul. Władysława IV 43, 81-395 Gdynia</w:t>
      </w:r>
      <w:r w:rsidR="0004399D">
        <w:rPr>
          <w:rFonts w:ascii="Cambria" w:hAnsi="Cambria"/>
        </w:rPr>
        <w:t>.</w:t>
      </w:r>
    </w:p>
    <w:p w14:paraId="6C6A3E69" w14:textId="2CC9F7CB" w:rsidR="0027361C" w:rsidRPr="0027361C" w:rsidRDefault="009271A2" w:rsidP="0027361C">
      <w:pPr>
        <w:pStyle w:val="Tekstprzypisudolnego"/>
        <w:jc w:val="both"/>
        <w:rPr>
          <w:rFonts w:ascii="Cambria" w:hAnsi="Cambria"/>
          <w:sz w:val="24"/>
          <w:szCs w:val="24"/>
        </w:rPr>
      </w:pPr>
      <w:r w:rsidRPr="0027361C">
        <w:rPr>
          <w:rFonts w:ascii="Cambria" w:hAnsi="Cambria"/>
          <w:sz w:val="24"/>
          <w:szCs w:val="24"/>
        </w:rPr>
        <w:t xml:space="preserve">W zakresie rozpatrzenia sprawozdania finansowego Gminy  za rok 2024 </w:t>
      </w:r>
      <w:r w:rsidR="001B1CFF">
        <w:rPr>
          <w:rFonts w:ascii="Cambria" w:hAnsi="Cambria"/>
          <w:sz w:val="24"/>
          <w:szCs w:val="24"/>
        </w:rPr>
        <w:t xml:space="preserve">w ocenie </w:t>
      </w:r>
      <w:r w:rsidR="0027361C" w:rsidRPr="0027361C">
        <w:rPr>
          <w:rFonts w:ascii="Cambria" w:hAnsi="Cambria"/>
          <w:sz w:val="24"/>
          <w:szCs w:val="24"/>
        </w:rPr>
        <w:t xml:space="preserve">Komisji Rewizyjnej przygotowane sprawozdanie </w:t>
      </w:r>
      <w:r w:rsidR="0027361C">
        <w:rPr>
          <w:rFonts w:ascii="Cambria" w:hAnsi="Cambria"/>
          <w:sz w:val="24"/>
          <w:szCs w:val="24"/>
        </w:rPr>
        <w:t xml:space="preserve">finansowe </w:t>
      </w:r>
      <w:r w:rsidR="0027361C" w:rsidRPr="0027361C">
        <w:rPr>
          <w:rFonts w:ascii="Cambria" w:hAnsi="Cambria"/>
          <w:sz w:val="24"/>
          <w:szCs w:val="24"/>
        </w:rPr>
        <w:t>wraz z opinią biegłego rewidenta</w:t>
      </w:r>
      <w:r w:rsidR="0027361C">
        <w:rPr>
          <w:rFonts w:ascii="Cambria" w:hAnsi="Cambria"/>
          <w:sz w:val="24"/>
          <w:szCs w:val="24"/>
        </w:rPr>
        <w:t xml:space="preserve"> o tym sprawozdaniu </w:t>
      </w:r>
      <w:r w:rsidR="0027361C" w:rsidRPr="0027361C">
        <w:rPr>
          <w:rFonts w:ascii="Cambria" w:hAnsi="Cambria"/>
          <w:sz w:val="24"/>
          <w:szCs w:val="24"/>
        </w:rPr>
        <w:t xml:space="preserve"> przedstawia dokładny, spójny i </w:t>
      </w:r>
      <w:r w:rsidR="0027361C" w:rsidRPr="001B1CFF">
        <w:rPr>
          <w:rFonts w:ascii="Cambria" w:hAnsi="Cambria"/>
          <w:sz w:val="24"/>
          <w:szCs w:val="24"/>
        </w:rPr>
        <w:t>jasny obraz sytuacji majątkowej i finansowej Gminy Miasta Gdyni na dzień 31 grudnia 2024 r. oraz jej wyniku finansowego za rok obrotowy zakończony w tym dniu zgodnie z mającymi zastosowanie przepisami ustawy z dnia 29 września 1994 r. o rachunkowości ( t.jedn. Dz. U. z 2023, poz. 12 ze zmianami poz. 295 i  w 2024r. poz. 619,1685 i 1863), ustawą z dnia 27 sierpnia 2009 r. o finansach publicznych (</w:t>
      </w:r>
      <w:r w:rsidR="0027361C" w:rsidRPr="001B1CFF">
        <w:rPr>
          <w:rFonts w:ascii="Cambria" w:hAnsi="Cambria"/>
          <w:color w:val="000000"/>
          <w:sz w:val="24"/>
          <w:szCs w:val="24"/>
        </w:rPr>
        <w:t>.j. Dz.U. z 2024r. poz. 1530</w:t>
      </w:r>
      <w:r w:rsidR="0027361C" w:rsidRPr="001B1CFF">
        <w:rPr>
          <w:rFonts w:ascii="Cambria" w:hAnsi="Cambria"/>
          <w:sz w:val="24"/>
          <w:szCs w:val="24"/>
        </w:rPr>
        <w:t xml:space="preserve"> zm. poz. 1572,1717, 1756, 1907, Dz.U. z 2025r. poz. 39 ), Rozporządzeniem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(„Rozporządzenie w sprawie rachunkowości oraz planów kont” – t.j. Dz. U. z 2020 r., poz. 342 ze zm. w 2025r. poz. 347) oraz przyjętymi zasadami (polityką) rachunkowości;</w:t>
      </w:r>
      <w:r w:rsidR="0027361C" w:rsidRPr="0027361C">
        <w:rPr>
          <w:rFonts w:ascii="Cambria" w:hAnsi="Cambria"/>
          <w:sz w:val="24"/>
          <w:szCs w:val="24"/>
        </w:rPr>
        <w:t xml:space="preserve"> Sprawozdanie jest zgodne co do formy i treści z obowiązującymi przepisami prawa. </w:t>
      </w:r>
    </w:p>
    <w:p w14:paraId="10E5AAD6" w14:textId="42E920EE" w:rsidR="009271A2" w:rsidRPr="0027361C" w:rsidRDefault="009271A2" w:rsidP="0027361C">
      <w:pPr>
        <w:jc w:val="both"/>
        <w:rPr>
          <w:rFonts w:ascii="Cambria" w:hAnsi="Cambria"/>
        </w:rPr>
      </w:pPr>
    </w:p>
    <w:p w14:paraId="3D971042" w14:textId="77777777" w:rsidR="006673BE" w:rsidRPr="0027361C" w:rsidRDefault="006673BE" w:rsidP="0027361C">
      <w:pPr>
        <w:rPr>
          <w:rFonts w:ascii="Cambria" w:hAnsi="Cambria"/>
        </w:rPr>
      </w:pPr>
    </w:p>
    <w:p w14:paraId="29972149" w14:textId="77777777" w:rsidR="006673BE" w:rsidRPr="0027361C" w:rsidRDefault="006673BE" w:rsidP="0027361C">
      <w:pPr>
        <w:jc w:val="right"/>
        <w:rPr>
          <w:rFonts w:ascii="Cambria" w:hAnsi="Cambria"/>
          <w:bCs/>
          <w:i/>
        </w:rPr>
      </w:pPr>
      <w:r w:rsidRPr="0027361C">
        <w:rPr>
          <w:rFonts w:ascii="Cambria" w:hAnsi="Cambria"/>
          <w:bCs/>
          <w:i/>
        </w:rPr>
        <w:t>Przewodniczący Komisji Rewizyjnej</w:t>
      </w:r>
    </w:p>
    <w:p w14:paraId="25E4B4B4" w14:textId="77777777" w:rsidR="006673BE" w:rsidRPr="0027361C" w:rsidRDefault="006673BE" w:rsidP="0027361C">
      <w:pPr>
        <w:jc w:val="right"/>
        <w:rPr>
          <w:rFonts w:ascii="Cambria" w:hAnsi="Cambria"/>
          <w:bCs/>
          <w:i/>
        </w:rPr>
      </w:pPr>
      <w:r w:rsidRPr="0027361C">
        <w:rPr>
          <w:rFonts w:ascii="Cambria" w:hAnsi="Cambria"/>
          <w:bCs/>
          <w:i/>
        </w:rPr>
        <w:t>Marek Dudziński</w:t>
      </w:r>
    </w:p>
    <w:p w14:paraId="660B0FE5" w14:textId="77777777" w:rsidR="00B516EA" w:rsidRPr="0027361C" w:rsidRDefault="00B516EA" w:rsidP="0027361C">
      <w:pPr>
        <w:jc w:val="both"/>
        <w:rPr>
          <w:rFonts w:ascii="Cambria" w:hAnsi="Cambria"/>
        </w:rPr>
      </w:pPr>
    </w:p>
    <w:p w14:paraId="516DA932" w14:textId="77777777" w:rsidR="00B516EA" w:rsidRPr="0027361C" w:rsidRDefault="00B516EA" w:rsidP="0027361C">
      <w:pPr>
        <w:jc w:val="both"/>
        <w:rPr>
          <w:rFonts w:ascii="Cambria" w:hAnsi="Cambria"/>
        </w:rPr>
      </w:pPr>
    </w:p>
    <w:p w14:paraId="7700B74E" w14:textId="77777777" w:rsidR="00B516EA" w:rsidRPr="0027361C" w:rsidRDefault="00B516EA" w:rsidP="00B516EA">
      <w:pPr>
        <w:jc w:val="both"/>
        <w:rPr>
          <w:rFonts w:ascii="Cambria" w:hAnsi="Cambria"/>
        </w:rPr>
      </w:pPr>
    </w:p>
    <w:p w14:paraId="60350B6A" w14:textId="77777777" w:rsidR="0027361C" w:rsidRDefault="0027361C" w:rsidP="006673BE">
      <w:pPr>
        <w:ind w:firstLine="5220"/>
        <w:rPr>
          <w:i/>
        </w:rPr>
      </w:pPr>
    </w:p>
    <w:p w14:paraId="2236BFFC" w14:textId="77777777" w:rsidR="0027361C" w:rsidRDefault="0027361C" w:rsidP="006673BE">
      <w:pPr>
        <w:ind w:firstLine="5220"/>
        <w:rPr>
          <w:i/>
        </w:rPr>
      </w:pPr>
    </w:p>
    <w:p w14:paraId="10A56DAF" w14:textId="77777777" w:rsidR="00F430B4" w:rsidRDefault="00F430B4" w:rsidP="006673BE">
      <w:pPr>
        <w:ind w:firstLine="5220"/>
        <w:rPr>
          <w:i/>
        </w:rPr>
      </w:pPr>
    </w:p>
    <w:p w14:paraId="47B65BA2" w14:textId="77777777" w:rsidR="00F430B4" w:rsidRDefault="00F430B4" w:rsidP="006673BE">
      <w:pPr>
        <w:ind w:firstLine="5220"/>
        <w:rPr>
          <w:i/>
        </w:rPr>
      </w:pPr>
    </w:p>
    <w:p w14:paraId="61CD548A" w14:textId="356D933D" w:rsidR="006673BE" w:rsidRPr="0027361C" w:rsidRDefault="006673BE" w:rsidP="006673BE">
      <w:pPr>
        <w:ind w:firstLine="5220"/>
        <w:rPr>
          <w:i/>
        </w:rPr>
      </w:pPr>
      <w:r w:rsidRPr="0027361C">
        <w:rPr>
          <w:i/>
        </w:rPr>
        <w:t>Załącznik</w:t>
      </w:r>
    </w:p>
    <w:p w14:paraId="1D3116EA" w14:textId="77777777" w:rsidR="006673BE" w:rsidRPr="0027361C" w:rsidRDefault="006673BE" w:rsidP="006673BE">
      <w:pPr>
        <w:ind w:firstLine="5220"/>
        <w:rPr>
          <w:i/>
        </w:rPr>
      </w:pPr>
      <w:r w:rsidRPr="0027361C">
        <w:rPr>
          <w:i/>
        </w:rPr>
        <w:t xml:space="preserve">Do uchwały numer </w:t>
      </w:r>
      <w:r w:rsidRPr="0027361C">
        <w:rPr>
          <w:i/>
          <w:color w:val="FF0000"/>
        </w:rPr>
        <w:t>…………</w:t>
      </w:r>
    </w:p>
    <w:p w14:paraId="7F48CE3E" w14:textId="77777777" w:rsidR="006673BE" w:rsidRPr="0027361C" w:rsidRDefault="006673BE" w:rsidP="006673BE">
      <w:pPr>
        <w:ind w:firstLine="5220"/>
        <w:rPr>
          <w:i/>
        </w:rPr>
      </w:pPr>
      <w:r w:rsidRPr="0027361C">
        <w:rPr>
          <w:i/>
        </w:rPr>
        <w:t>Komisji Rewizyjnej Rady Miasta Gdyni</w:t>
      </w:r>
    </w:p>
    <w:p w14:paraId="271D2C6B" w14:textId="3B512717" w:rsidR="006673BE" w:rsidRPr="0027361C" w:rsidRDefault="0027361C" w:rsidP="006673BE">
      <w:pPr>
        <w:ind w:firstLine="5220"/>
        <w:rPr>
          <w:i/>
        </w:rPr>
      </w:pPr>
      <w:r w:rsidRPr="0027361C">
        <w:rPr>
          <w:i/>
        </w:rPr>
        <w:t>z</w:t>
      </w:r>
      <w:r w:rsidR="006673BE" w:rsidRPr="0027361C">
        <w:rPr>
          <w:i/>
        </w:rPr>
        <w:t xml:space="preserve"> dnia </w:t>
      </w:r>
      <w:r w:rsidR="00092609" w:rsidRPr="00092609">
        <w:rPr>
          <w:i/>
          <w:highlight w:val="yellow"/>
        </w:rPr>
        <w:t>____</w:t>
      </w:r>
      <w:r w:rsidR="006673BE" w:rsidRPr="0027361C">
        <w:rPr>
          <w:i/>
        </w:rPr>
        <w:t xml:space="preserve"> maja 2025 r.</w:t>
      </w:r>
    </w:p>
    <w:p w14:paraId="253DBD25" w14:textId="77777777" w:rsidR="006673BE" w:rsidRPr="00AD46DE" w:rsidRDefault="006673BE" w:rsidP="006673BE">
      <w:pPr>
        <w:jc w:val="right"/>
      </w:pPr>
    </w:p>
    <w:p w14:paraId="4C8DF7BA" w14:textId="77777777" w:rsidR="006673BE" w:rsidRPr="00AD46DE" w:rsidRDefault="006673BE" w:rsidP="006673BE">
      <w:r w:rsidRPr="00AD46DE">
        <w:t>Komisja Rewizyjna</w:t>
      </w:r>
    </w:p>
    <w:p w14:paraId="7D6578C0" w14:textId="77777777" w:rsidR="006673BE" w:rsidRPr="00AD46DE" w:rsidRDefault="006673BE" w:rsidP="006673BE">
      <w:r w:rsidRPr="00AD46DE">
        <w:t>Rady Miasta Gdyni</w:t>
      </w:r>
    </w:p>
    <w:p w14:paraId="29EFB56A" w14:textId="77777777" w:rsidR="006673BE" w:rsidRPr="00AD46DE" w:rsidRDefault="006673BE" w:rsidP="006673BE">
      <w:pPr>
        <w:jc w:val="center"/>
        <w:rPr>
          <w:b/>
        </w:rPr>
      </w:pPr>
    </w:p>
    <w:p w14:paraId="6C0F62D2" w14:textId="77777777" w:rsidR="006673BE" w:rsidRPr="00AD46DE" w:rsidRDefault="006673BE" w:rsidP="006673BE">
      <w:pPr>
        <w:jc w:val="center"/>
        <w:rPr>
          <w:b/>
        </w:rPr>
      </w:pPr>
    </w:p>
    <w:p w14:paraId="254EFECA" w14:textId="77777777" w:rsidR="006673BE" w:rsidRPr="00AD46DE" w:rsidRDefault="006673BE" w:rsidP="006673BE">
      <w:pPr>
        <w:jc w:val="center"/>
        <w:rPr>
          <w:b/>
        </w:rPr>
      </w:pPr>
      <w:r w:rsidRPr="00AD46DE">
        <w:rPr>
          <w:b/>
        </w:rPr>
        <w:t>Opinia</w:t>
      </w:r>
    </w:p>
    <w:p w14:paraId="62913F75" w14:textId="77777777" w:rsidR="006673BE" w:rsidRPr="00AD46DE" w:rsidRDefault="006673BE" w:rsidP="006673BE">
      <w:pPr>
        <w:jc w:val="center"/>
        <w:rPr>
          <w:b/>
        </w:rPr>
      </w:pPr>
      <w:r w:rsidRPr="00AD46DE">
        <w:rPr>
          <w:b/>
        </w:rPr>
        <w:t>Komisji Rewizyjnej Rady Miasta Gdyni</w:t>
      </w:r>
    </w:p>
    <w:p w14:paraId="793C4E8E" w14:textId="3C4133E9" w:rsidR="006673BE" w:rsidRPr="00AD46DE" w:rsidRDefault="006673BE" w:rsidP="006673BE">
      <w:pPr>
        <w:jc w:val="center"/>
        <w:rPr>
          <w:b/>
        </w:rPr>
      </w:pPr>
      <w:r w:rsidRPr="00AD46DE">
        <w:rPr>
          <w:b/>
        </w:rPr>
        <w:t>W sprawie wykonania budżetu Miasta Gdyni za 202</w:t>
      </w:r>
      <w:r>
        <w:rPr>
          <w:b/>
        </w:rPr>
        <w:t>4</w:t>
      </w:r>
      <w:r w:rsidRPr="00AD46DE">
        <w:rPr>
          <w:b/>
        </w:rPr>
        <w:t xml:space="preserve"> r. </w:t>
      </w:r>
      <w:r w:rsidR="002E0A0D">
        <w:rPr>
          <w:b/>
        </w:rPr>
        <w:t xml:space="preserve">, sprawozdań finansowych za rok 2024 </w:t>
      </w:r>
      <w:r w:rsidRPr="00AD46DE">
        <w:rPr>
          <w:b/>
        </w:rPr>
        <w:t>wraz  z informacją o stanie mienia komunalnego i objaśnieniami.</w:t>
      </w:r>
    </w:p>
    <w:p w14:paraId="199EA2BC" w14:textId="77777777" w:rsidR="006673BE" w:rsidRPr="00AD46DE" w:rsidRDefault="006673BE" w:rsidP="006673BE"/>
    <w:p w14:paraId="75D5D797" w14:textId="77777777" w:rsidR="006673BE" w:rsidRPr="00AD46DE" w:rsidRDefault="006673BE" w:rsidP="006673BE">
      <w:pPr>
        <w:ind w:firstLine="720"/>
        <w:jc w:val="center"/>
        <w:rPr>
          <w:b/>
          <w:color w:val="FF0000"/>
          <w:sz w:val="28"/>
          <w:szCs w:val="28"/>
        </w:rPr>
      </w:pPr>
    </w:p>
    <w:p w14:paraId="27BCBF22" w14:textId="77777777" w:rsidR="006673BE" w:rsidRPr="00F10F62" w:rsidRDefault="006673BE" w:rsidP="006673BE">
      <w:pPr>
        <w:ind w:firstLine="720"/>
        <w:jc w:val="both"/>
        <w:rPr>
          <w:color w:val="000000" w:themeColor="text1"/>
        </w:rPr>
      </w:pPr>
      <w:bookmarkStart w:id="3" w:name="_Hlk197873648"/>
      <w:r w:rsidRPr="00F10F62">
        <w:rPr>
          <w:color w:val="000000" w:themeColor="text1"/>
        </w:rPr>
        <w:t>Zrealizowane dochody wyniosły 2.443.635.689 zł (98,4% planu), wydatki 2 372 667 206 zł (93,1%) i budżet miasta Gdyni  zamknął się nadwyżką w wysokości 70 968 483 zł.</w:t>
      </w:r>
    </w:p>
    <w:p w14:paraId="0EFD37D2" w14:textId="77777777" w:rsidR="006673BE" w:rsidRPr="00F10F62" w:rsidRDefault="006673BE" w:rsidP="006673BE">
      <w:pPr>
        <w:ind w:firstLine="708"/>
        <w:jc w:val="both"/>
        <w:rPr>
          <w:color w:val="000000" w:themeColor="text1"/>
        </w:rPr>
      </w:pPr>
      <w:r w:rsidRPr="00F10F62">
        <w:rPr>
          <w:color w:val="000000" w:themeColor="text1"/>
        </w:rPr>
        <w:t>Dochody bieżące wyniosły 2.293.318.819 zł (93,8% dochodów ogółem), a dochody majątkowe 150.316.870 zł (6,2% ogółu dochodów).</w:t>
      </w:r>
    </w:p>
    <w:p w14:paraId="23533D2C" w14:textId="77777777" w:rsidR="006673BE" w:rsidRPr="00F10F62" w:rsidRDefault="006673BE" w:rsidP="006673BE">
      <w:pPr>
        <w:ind w:firstLine="708"/>
        <w:jc w:val="both"/>
        <w:rPr>
          <w:color w:val="000000" w:themeColor="text1"/>
        </w:rPr>
      </w:pPr>
      <w:r w:rsidRPr="00F10F62">
        <w:rPr>
          <w:color w:val="000000" w:themeColor="text1"/>
        </w:rPr>
        <w:t xml:space="preserve"> Udział dochodów własnych w dochodach bieżących wyniósł 67,7%, udział środków z budżetu Unii Europejskiej – 0,3%, udział subwencji – 23,3%, natomiast udział dotacji z budżetu państwa – 8,7%. </w:t>
      </w:r>
    </w:p>
    <w:p w14:paraId="4B5E7835" w14:textId="77777777" w:rsidR="006673BE" w:rsidRPr="00F10F62" w:rsidRDefault="006673BE" w:rsidP="006673BE">
      <w:pPr>
        <w:ind w:firstLine="708"/>
        <w:jc w:val="both"/>
        <w:rPr>
          <w:color w:val="000000" w:themeColor="text1"/>
        </w:rPr>
      </w:pPr>
      <w:r w:rsidRPr="00F10F62">
        <w:rPr>
          <w:color w:val="000000" w:themeColor="text1"/>
        </w:rPr>
        <w:t xml:space="preserve">Podatki i opłaty pobierane przez miasto wykonano w 98,7% uzyskując 367.380.443 zł. W tej grupie dochodów strategiczny udział ma podatek od nieruchomości (59,5%), który wykonano w kwocie 218 595 249 zł (95,3% planu). Wpływy z tytułu ze strefy płatnego parkowania wyniosły 38 597 659 zł (111,9% planu; 10,5% udziału w strukturze). </w:t>
      </w:r>
    </w:p>
    <w:p w14:paraId="02365E14" w14:textId="77777777" w:rsidR="006673BE" w:rsidRPr="00F10F62" w:rsidRDefault="006673BE" w:rsidP="006673BE">
      <w:pPr>
        <w:ind w:firstLine="708"/>
        <w:jc w:val="both"/>
        <w:rPr>
          <w:color w:val="000000" w:themeColor="text1"/>
        </w:rPr>
      </w:pPr>
      <w:r w:rsidRPr="00F10F62">
        <w:rPr>
          <w:color w:val="000000" w:themeColor="text1"/>
        </w:rPr>
        <w:t>Wpływy z opłat za gospodarowanie odpadami komunalnymi wyniosły 77 480 298 zł (102,5% planu, 21,1% udziału w strukturze), a dochody z tytułu ustawy o wychowaniu w trzeźwości i przeciwdziałaniu alkoholizmowi wyniosły 8 062 606 zł, (117,3% planu; udział w strukturze 2,2%).</w:t>
      </w:r>
    </w:p>
    <w:p w14:paraId="7AC3CA0D" w14:textId="77777777" w:rsidR="006673BE" w:rsidRPr="00F10F62" w:rsidRDefault="006673BE" w:rsidP="006673BE">
      <w:pPr>
        <w:ind w:firstLine="708"/>
        <w:jc w:val="both"/>
        <w:rPr>
          <w:color w:val="000000" w:themeColor="text1"/>
        </w:rPr>
      </w:pPr>
      <w:r w:rsidRPr="00F10F62">
        <w:rPr>
          <w:color w:val="000000" w:themeColor="text1"/>
        </w:rPr>
        <w:t>Dochody z opłat za zajęcie pasa drogowego, umieszczanie reklam i stoisk w pasie drogowym – 5 177 757 zł (91,1% planowanych środków), natomiast z opłat komunikacyjnych – 4 820 896 zł (120,5% planu).</w:t>
      </w:r>
    </w:p>
    <w:p w14:paraId="442B5C0C" w14:textId="77777777" w:rsidR="006673BE" w:rsidRPr="00F10F62" w:rsidRDefault="006673BE" w:rsidP="006673BE">
      <w:pPr>
        <w:ind w:firstLine="708"/>
        <w:jc w:val="both"/>
        <w:rPr>
          <w:color w:val="000000" w:themeColor="text1"/>
        </w:rPr>
      </w:pPr>
      <w:r w:rsidRPr="00F10F62">
        <w:rPr>
          <w:color w:val="000000" w:themeColor="text1"/>
        </w:rPr>
        <w:t xml:space="preserve">Dochody z tytułu opłaty skarbowej wykonano w 90,8% na kwotę 2 723 490 zł, z opłat lokalnych (targowej i miejscowej) wpłynęło do budżetu miasta 721 323 zł, tj. 134,8% planu, </w:t>
      </w:r>
      <w:r w:rsidRPr="00F10F62">
        <w:rPr>
          <w:color w:val="000000" w:themeColor="text1"/>
        </w:rPr>
        <w:br/>
        <w:t xml:space="preserve">a z opłat adiacenckich i renty planistycznej 1 394 532 zł (398,4% planu). </w:t>
      </w:r>
    </w:p>
    <w:p w14:paraId="4E770490" w14:textId="77777777" w:rsidR="006673BE" w:rsidRPr="00F10F62" w:rsidRDefault="006673BE" w:rsidP="006673BE">
      <w:pPr>
        <w:ind w:firstLine="708"/>
        <w:jc w:val="both"/>
        <w:rPr>
          <w:color w:val="000000" w:themeColor="text1"/>
        </w:rPr>
      </w:pPr>
      <w:r w:rsidRPr="00F10F62">
        <w:rPr>
          <w:color w:val="000000" w:themeColor="text1"/>
        </w:rPr>
        <w:t xml:space="preserve">Z podatków pobieranych przez urzędy skarbowe w 2024 roku wpłynęło 53.606.861 zł (93,1% planu). W tej grupie dochodów znaczącą pozycję stanowi podatek od czynności cywilnoprawnych. Wpływy z tego tytułu wyniosły 43.766.214 zł (91,2% planu). </w:t>
      </w:r>
    </w:p>
    <w:p w14:paraId="46F6D7BD" w14:textId="77777777" w:rsidR="006673BE" w:rsidRPr="00F10F62" w:rsidRDefault="006673BE" w:rsidP="006673BE">
      <w:pPr>
        <w:ind w:firstLine="708"/>
        <w:jc w:val="both"/>
        <w:rPr>
          <w:color w:val="000000" w:themeColor="text1"/>
        </w:rPr>
      </w:pPr>
      <w:r w:rsidRPr="00F10F62">
        <w:rPr>
          <w:color w:val="000000" w:themeColor="text1"/>
        </w:rPr>
        <w:t xml:space="preserve">Dochody bieżące z majątku miasta wyniosły 81.005.218 zł tj. 100,4% planu, a inne bieżące dochody własne wykonano w 102,3% uzyskując 170.520.343 zł. </w:t>
      </w:r>
    </w:p>
    <w:p w14:paraId="06BF35D2" w14:textId="77777777" w:rsidR="006673BE" w:rsidRPr="00F10F62" w:rsidRDefault="006673BE" w:rsidP="006673BE">
      <w:pPr>
        <w:ind w:firstLine="708"/>
        <w:jc w:val="both"/>
        <w:rPr>
          <w:color w:val="000000" w:themeColor="text1"/>
        </w:rPr>
      </w:pPr>
      <w:r w:rsidRPr="00F10F62">
        <w:rPr>
          <w:color w:val="000000" w:themeColor="text1"/>
        </w:rPr>
        <w:t xml:space="preserve">Wpływy z dotacji od jednostek samorządu terytorialnego- 31.837.354 zł (99,7% planu).  Dotacje i inne środki zewnętrzne na dofinansowanie zadań własnych zrealizowano w kwocie 42.070.901 zł (94,5% planu). W 2024 r. otrzymane środki były niższe o 16.180.281 zł. Spadek jest wynikiem otrzymania w 2023 roku znacznie wyższych dotacji z UNICEF o 10.077.870 zł, </w:t>
      </w:r>
      <w:r w:rsidRPr="00F10F62">
        <w:rPr>
          <w:color w:val="000000" w:themeColor="text1"/>
        </w:rPr>
        <w:lastRenderedPageBreak/>
        <w:t>Funduszu Pomocy na pomoc obywatelom Ukrainy o 5.408.186 zł oraz środków z Funduszu Przeciwdziałania COVID- 19 o 1.153.666 zł.</w:t>
      </w:r>
    </w:p>
    <w:p w14:paraId="708069B1" w14:textId="77777777" w:rsidR="006673BE" w:rsidRPr="00F10F62" w:rsidRDefault="006673BE" w:rsidP="006673BE">
      <w:pPr>
        <w:ind w:firstLine="708"/>
        <w:jc w:val="both"/>
        <w:rPr>
          <w:color w:val="000000" w:themeColor="text1"/>
        </w:rPr>
      </w:pPr>
      <w:r w:rsidRPr="00F10F62">
        <w:rPr>
          <w:color w:val="000000" w:themeColor="text1"/>
        </w:rPr>
        <w:t>Udziały we wpływach z podatków dochodowych stanowią najbardziej istotną grupę bieżących dochodów własnych budżetu. W 2024 r. ich udział w strukturze bieżących dochodów własnych wyniósł 51,9%.  Wpływy z tego tytułu wyniosły w 2024 roku 805.925.141 zł, tj. 100% zaplanowanej kwoty.</w:t>
      </w:r>
    </w:p>
    <w:p w14:paraId="0963922E" w14:textId="77777777" w:rsidR="006673BE" w:rsidRPr="00F10F62" w:rsidRDefault="006673BE" w:rsidP="006673BE">
      <w:pPr>
        <w:ind w:firstLine="708"/>
        <w:jc w:val="both"/>
        <w:rPr>
          <w:color w:val="000000" w:themeColor="text1"/>
        </w:rPr>
      </w:pPr>
      <w:r w:rsidRPr="00F10F62">
        <w:rPr>
          <w:color w:val="000000" w:themeColor="text1"/>
        </w:rPr>
        <w:t xml:space="preserve">Z budżetu Unii Europejskiej i innych źródeł zagranicznych na dofinansowanie zadań bieżących otrzymano środki w kwocie 6.626.919 zł (74,6% planowanej kwoty).  Pozwoliło to współfinansować  zadnia projektowe o różnym zakresie tematycznym. </w:t>
      </w:r>
    </w:p>
    <w:p w14:paraId="4BEBB152" w14:textId="77777777" w:rsidR="006673BE" w:rsidRPr="00F10F62" w:rsidRDefault="006673BE" w:rsidP="006673BE">
      <w:pPr>
        <w:ind w:firstLine="720"/>
        <w:jc w:val="both"/>
        <w:rPr>
          <w:color w:val="000000" w:themeColor="text1"/>
        </w:rPr>
      </w:pPr>
    </w:p>
    <w:p w14:paraId="2BFE82FD" w14:textId="77777777" w:rsidR="006673BE" w:rsidRPr="00F10F62" w:rsidRDefault="006673BE" w:rsidP="006673BE">
      <w:pPr>
        <w:ind w:firstLine="720"/>
        <w:jc w:val="both"/>
        <w:rPr>
          <w:color w:val="000000" w:themeColor="text1"/>
        </w:rPr>
      </w:pPr>
      <w:r w:rsidRPr="00F10F62">
        <w:rPr>
          <w:color w:val="000000" w:themeColor="text1"/>
        </w:rPr>
        <w:t>Wpływy z tytułu subwencji ogólnej wyniosły 534.405.562 zł (100,3%). Część oświatowa subwencji ogólnej wyniosła 492.986.630 zł (100,3% planu).</w:t>
      </w:r>
    </w:p>
    <w:p w14:paraId="5DF3E279" w14:textId="77777777" w:rsidR="006673BE" w:rsidRPr="00F10F62" w:rsidRDefault="006673BE" w:rsidP="006673BE">
      <w:pPr>
        <w:ind w:firstLine="708"/>
        <w:jc w:val="both"/>
        <w:rPr>
          <w:color w:val="000000" w:themeColor="text1"/>
        </w:rPr>
      </w:pPr>
      <w:r w:rsidRPr="00F10F62">
        <w:rPr>
          <w:color w:val="000000" w:themeColor="text1"/>
        </w:rPr>
        <w:t xml:space="preserve">Kwota otrzymanych dotacji celowych z budżetu państwa na dofinansowanie zadań zleconych w 2024 roku wyniosła 150.452.409 zł. tj. 96,3% planu. Dochody z dotacji budżetu państwa na zadania zlecone były wyższe o 26.372.239 zł niż w roku 2023 r. tj. o 21,3%. </w:t>
      </w:r>
    </w:p>
    <w:p w14:paraId="70442F7E" w14:textId="77777777" w:rsidR="006673BE" w:rsidRPr="00F10F62" w:rsidRDefault="006673BE" w:rsidP="006673BE">
      <w:pPr>
        <w:ind w:firstLine="708"/>
        <w:jc w:val="both"/>
        <w:rPr>
          <w:color w:val="000000" w:themeColor="text1"/>
        </w:rPr>
      </w:pPr>
      <w:r w:rsidRPr="00F10F62">
        <w:rPr>
          <w:color w:val="000000" w:themeColor="text1"/>
        </w:rPr>
        <w:t>Na zadania zlecone z zakresu opieki społecznej wpłynęło 107.590.296 zł (tj. 95,5% planu), w tym na wypłaty świadczeń rodzinnych 86.527.486 zł (96,8% planu).</w:t>
      </w:r>
    </w:p>
    <w:p w14:paraId="02DEF86D" w14:textId="77777777" w:rsidR="006673BE" w:rsidRPr="00F10F62" w:rsidRDefault="006673BE" w:rsidP="006673BE">
      <w:pPr>
        <w:ind w:firstLine="708"/>
        <w:jc w:val="both"/>
        <w:rPr>
          <w:color w:val="000000" w:themeColor="text1"/>
        </w:rPr>
      </w:pPr>
      <w:r w:rsidRPr="00F10F62">
        <w:rPr>
          <w:color w:val="000000" w:themeColor="text1"/>
        </w:rPr>
        <w:t xml:space="preserve"> Na zadania z zakresu gospodarki gruntami i nieruchomościami Skarbu Państwa Gdynia otrzymała 1.158.915 zł, tj. 86,4% planowanych dotacji.</w:t>
      </w:r>
    </w:p>
    <w:p w14:paraId="3EED269E" w14:textId="77777777" w:rsidR="006673BE" w:rsidRPr="00F10F62" w:rsidRDefault="006673BE" w:rsidP="006673BE">
      <w:pPr>
        <w:ind w:firstLine="720"/>
        <w:jc w:val="both"/>
        <w:rPr>
          <w:color w:val="000000" w:themeColor="text1"/>
        </w:rPr>
      </w:pPr>
      <w:r w:rsidRPr="00F10F62">
        <w:rPr>
          <w:color w:val="000000" w:themeColor="text1"/>
        </w:rPr>
        <w:t>Dotacje na finansowanie lub dofinansowanie bieżących zadań własnych wyniosły 46.138.537 zł, tj. 97,6% planu, głównie na zadania z zakresu opieki społecznej i wychowania przedszkolnego.</w:t>
      </w:r>
    </w:p>
    <w:p w14:paraId="2AEF5E02" w14:textId="77777777" w:rsidR="006673BE" w:rsidRPr="00F10F62" w:rsidRDefault="006673BE" w:rsidP="006673BE">
      <w:pPr>
        <w:ind w:firstLine="708"/>
        <w:jc w:val="both"/>
        <w:rPr>
          <w:color w:val="000000" w:themeColor="text1"/>
        </w:rPr>
      </w:pPr>
      <w:r w:rsidRPr="00F10F62">
        <w:rPr>
          <w:color w:val="000000" w:themeColor="text1"/>
        </w:rPr>
        <w:t>Dotacje na realizację zadań na mocy porozumień z organami administracji rządowej wyniosły 3.349.132 zł (83,6% planu).</w:t>
      </w:r>
    </w:p>
    <w:p w14:paraId="3BF63EB4" w14:textId="77777777" w:rsidR="006673BE" w:rsidRPr="00F10F62" w:rsidRDefault="006673BE" w:rsidP="006673BE">
      <w:pPr>
        <w:ind w:firstLine="720"/>
        <w:jc w:val="both"/>
        <w:rPr>
          <w:color w:val="000000" w:themeColor="text1"/>
        </w:rPr>
      </w:pPr>
      <w:r w:rsidRPr="00F10F62">
        <w:rPr>
          <w:color w:val="000000" w:themeColor="text1"/>
        </w:rPr>
        <w:t xml:space="preserve">W dochodach majątkowych, które w 2024 r. wyniosły 150 316 870 zł (85,8% planu), główne pozycje stanowiły dochody własne w kwocie 89 827 269 (81,5%) w tym m.in. dotacje i inne środki zewnętrzne wyniosły 56 158 382 zł (99,6% planu). </w:t>
      </w:r>
    </w:p>
    <w:p w14:paraId="70D06045" w14:textId="77777777" w:rsidR="006673BE" w:rsidRPr="00F10F62" w:rsidRDefault="006673BE" w:rsidP="006673BE">
      <w:pPr>
        <w:ind w:firstLine="720"/>
        <w:jc w:val="both"/>
        <w:rPr>
          <w:color w:val="000000" w:themeColor="text1"/>
        </w:rPr>
      </w:pPr>
      <w:r w:rsidRPr="00F10F62">
        <w:rPr>
          <w:color w:val="000000" w:themeColor="text1"/>
        </w:rPr>
        <w:t xml:space="preserve">Środki z budżetu Unii Europejskiej i inne bezzwrotne środki zagraniczne na dofinansowanie projektów inwestycyjnych w kwocie 45 704 348 zł (91,3% planowanych środków).  </w:t>
      </w:r>
    </w:p>
    <w:p w14:paraId="050A31F4" w14:textId="77777777" w:rsidR="006673BE" w:rsidRPr="00F10F62" w:rsidRDefault="006673BE" w:rsidP="006673BE">
      <w:pPr>
        <w:ind w:firstLine="720"/>
        <w:jc w:val="both"/>
        <w:rPr>
          <w:color w:val="000000" w:themeColor="text1"/>
        </w:rPr>
      </w:pPr>
      <w:r w:rsidRPr="00F10F62">
        <w:rPr>
          <w:color w:val="000000" w:themeColor="text1"/>
        </w:rPr>
        <w:t>W 2024 roku miasto otrzymało subwencję w wysokości 14 685 600</w:t>
      </w:r>
      <w:r w:rsidRPr="00F10F62">
        <w:rPr>
          <w:b/>
          <w:bCs/>
          <w:color w:val="000000" w:themeColor="text1"/>
        </w:rPr>
        <w:t xml:space="preserve"> </w:t>
      </w:r>
      <w:r w:rsidRPr="00F10F62">
        <w:rPr>
          <w:color w:val="000000" w:themeColor="text1"/>
        </w:rPr>
        <w:t>zł z przeznaczeniem na dofinansowanie inwestycji - Budowa ul. Puckiej w Gdyni w ramach zadania "Poprawa bezpieczeństwa na skrzyżowaniach linii kolejowych z drogami - Etap III”.</w:t>
      </w:r>
    </w:p>
    <w:p w14:paraId="732B0CEB" w14:textId="77777777" w:rsidR="006673BE" w:rsidRPr="00F10F62" w:rsidRDefault="006673BE" w:rsidP="006673BE">
      <w:pPr>
        <w:ind w:firstLine="720"/>
        <w:jc w:val="both"/>
        <w:rPr>
          <w:color w:val="000000" w:themeColor="text1"/>
        </w:rPr>
      </w:pPr>
      <w:r w:rsidRPr="00F10F62">
        <w:rPr>
          <w:color w:val="000000" w:themeColor="text1"/>
        </w:rPr>
        <w:t xml:space="preserve">W 2024 r. wydatki budżetu miasta wyniosły ogółem 2.372.667.206 zł, co stanowi 93,1% planu. W strukturze wydatków zdecydowanie dominuje oświata - 846 471 239 zł, zadania z zakresu pomocy społecznej - 147 823 283 zł, transport 435 005 540 zł, zadania z zakresu gospodarki komunalnej i ochrony środowiska 200 325 785 zł. </w:t>
      </w:r>
    </w:p>
    <w:p w14:paraId="559B84D0" w14:textId="77777777" w:rsidR="006673BE" w:rsidRPr="00F10F62" w:rsidRDefault="006673BE" w:rsidP="006673BE">
      <w:pPr>
        <w:ind w:firstLine="708"/>
        <w:jc w:val="both"/>
        <w:rPr>
          <w:color w:val="000000" w:themeColor="text1"/>
        </w:rPr>
      </w:pPr>
      <w:r w:rsidRPr="00F10F62">
        <w:rPr>
          <w:color w:val="000000" w:themeColor="text1"/>
        </w:rPr>
        <w:t xml:space="preserve">Na zadania z zakresu administracji publicznej wydano 162 246 160 zł, gospodarki mieszkaniowej 72 066 028 zł, kultury i ochrony dziedzictwa narodowego 74 949 738 zł oraz działalności usługowej 15 611 941 zł. </w:t>
      </w:r>
    </w:p>
    <w:p w14:paraId="4A42F9B3" w14:textId="77777777" w:rsidR="006673BE" w:rsidRPr="00F10F62" w:rsidRDefault="006673BE" w:rsidP="006673BE">
      <w:pPr>
        <w:ind w:firstLine="708"/>
        <w:jc w:val="both"/>
        <w:rPr>
          <w:color w:val="000000" w:themeColor="text1"/>
        </w:rPr>
      </w:pPr>
      <w:r w:rsidRPr="00F10F62">
        <w:rPr>
          <w:color w:val="000000" w:themeColor="text1"/>
        </w:rPr>
        <w:t xml:space="preserve">Na zadania z zakresu bezpieczeństwa publicznego wydano 44 234 758 zł, z zakresu kultury fizycznej i sportu 74 949 738 zł, na ochronę zdrowia 17 743 384 zł oraz na obsługę długu publicznego 60 127 718 zł. </w:t>
      </w:r>
    </w:p>
    <w:p w14:paraId="06723594" w14:textId="77777777" w:rsidR="006673BE" w:rsidRPr="00F10F62" w:rsidRDefault="006673BE" w:rsidP="006673BE">
      <w:pPr>
        <w:ind w:firstLine="708"/>
        <w:jc w:val="both"/>
        <w:rPr>
          <w:color w:val="000000" w:themeColor="text1"/>
        </w:rPr>
      </w:pPr>
      <w:r w:rsidRPr="00F10F62">
        <w:rPr>
          <w:color w:val="000000" w:themeColor="text1"/>
        </w:rPr>
        <w:t xml:space="preserve">Finansowanie lokalnego transportu zbiorowego to istotna pozycja w budżecie miasta, której wykonanie wyniosło 247.146.718 zł, tj. 96,8% planu. </w:t>
      </w:r>
    </w:p>
    <w:p w14:paraId="667E114E" w14:textId="77777777" w:rsidR="006673BE" w:rsidRPr="00F10F62" w:rsidRDefault="006673BE" w:rsidP="006673BE">
      <w:pPr>
        <w:ind w:firstLine="708"/>
        <w:jc w:val="both"/>
        <w:rPr>
          <w:color w:val="000000" w:themeColor="text1"/>
        </w:rPr>
      </w:pPr>
      <w:r w:rsidRPr="00F10F62">
        <w:rPr>
          <w:color w:val="000000" w:themeColor="text1"/>
        </w:rPr>
        <w:t xml:space="preserve">Wydatki na drogi publiczne w miastach na prawach powiatu wyniosły 147.143.218 zł, w tym wydatki inwestycyjne zrealizowano w kwocie 129.653.027 zł. </w:t>
      </w:r>
    </w:p>
    <w:p w14:paraId="0D6AD36D" w14:textId="77777777" w:rsidR="006673BE" w:rsidRPr="00F10F62" w:rsidRDefault="006673BE" w:rsidP="006673BE">
      <w:pPr>
        <w:ind w:firstLine="720"/>
        <w:jc w:val="both"/>
        <w:rPr>
          <w:color w:val="000000" w:themeColor="text1"/>
        </w:rPr>
      </w:pPr>
      <w:r w:rsidRPr="00F10F62">
        <w:rPr>
          <w:color w:val="000000" w:themeColor="text1"/>
        </w:rPr>
        <w:t xml:space="preserve">Na realizację zadań z zakresu gospodarki mieszkaniowej wydatkowano 72 066 028 zł (88,9% planu). </w:t>
      </w:r>
    </w:p>
    <w:p w14:paraId="563DBA43" w14:textId="77777777" w:rsidR="006673BE" w:rsidRPr="00F10F62" w:rsidRDefault="006673BE" w:rsidP="006673BE">
      <w:pPr>
        <w:ind w:firstLine="720"/>
        <w:jc w:val="both"/>
        <w:rPr>
          <w:color w:val="000000" w:themeColor="text1"/>
        </w:rPr>
      </w:pPr>
      <w:r w:rsidRPr="00F10F62">
        <w:rPr>
          <w:color w:val="000000" w:themeColor="text1"/>
        </w:rPr>
        <w:lastRenderedPageBreak/>
        <w:t xml:space="preserve">Administracja publiczna - wydatkowano 162 246 160 zł (96,2% planu), w tym na zadania zlecone finansowane z dotacji – 4 428 418 zł (100% planu). </w:t>
      </w:r>
    </w:p>
    <w:p w14:paraId="191F88FD" w14:textId="77777777" w:rsidR="006673BE" w:rsidRPr="00F10F62" w:rsidRDefault="006673BE" w:rsidP="006673BE">
      <w:pPr>
        <w:ind w:firstLine="708"/>
        <w:jc w:val="both"/>
        <w:rPr>
          <w:color w:val="000000" w:themeColor="text1"/>
        </w:rPr>
      </w:pPr>
      <w:r w:rsidRPr="00F10F62">
        <w:rPr>
          <w:color w:val="000000" w:themeColor="text1"/>
        </w:rPr>
        <w:t xml:space="preserve">Na utrzymanie Rady Miasta i jednostek pomocniczych gminy - rad dzielnic wydatkowano 1.497.729 zł tj. 86,5% planu. </w:t>
      </w:r>
    </w:p>
    <w:p w14:paraId="69D713EB" w14:textId="77777777" w:rsidR="006673BE" w:rsidRPr="00F10F62" w:rsidRDefault="006673BE" w:rsidP="006673BE">
      <w:pPr>
        <w:ind w:firstLine="720"/>
        <w:jc w:val="both"/>
        <w:rPr>
          <w:color w:val="000000" w:themeColor="text1"/>
        </w:rPr>
      </w:pPr>
      <w:r w:rsidRPr="00F10F62">
        <w:rPr>
          <w:color w:val="000000" w:themeColor="text1"/>
        </w:rPr>
        <w:t xml:space="preserve">Na zadania promujące miasto wydatkowano 10.912.345 zł, tj. 97,2% zaplanowanych środków. </w:t>
      </w:r>
    </w:p>
    <w:p w14:paraId="7B241F8B" w14:textId="77777777" w:rsidR="006673BE" w:rsidRPr="00F10F62" w:rsidRDefault="006673BE" w:rsidP="006673BE">
      <w:pPr>
        <w:ind w:firstLine="708"/>
        <w:jc w:val="both"/>
        <w:rPr>
          <w:color w:val="000000" w:themeColor="text1"/>
        </w:rPr>
      </w:pPr>
      <w:r w:rsidRPr="00F10F62">
        <w:rPr>
          <w:color w:val="000000" w:themeColor="text1"/>
        </w:rPr>
        <w:t>Wydatki na zadania z zakresu bezpieczeństwa publicznego i ochrony przeciwpożarowej wyniosły 44 234 758 zł (98,6% planu). Na dofinansowanie zadań komendy powiatowej Policji przekazano 185.779 zł, tj. 97,8% planu.</w:t>
      </w:r>
    </w:p>
    <w:p w14:paraId="33DB1D65" w14:textId="77777777" w:rsidR="006673BE" w:rsidRPr="00F10F62" w:rsidRDefault="006673BE" w:rsidP="006673BE">
      <w:pPr>
        <w:ind w:firstLine="708"/>
        <w:jc w:val="both"/>
        <w:rPr>
          <w:color w:val="000000" w:themeColor="text1"/>
        </w:rPr>
      </w:pPr>
      <w:r w:rsidRPr="00F10F62">
        <w:rPr>
          <w:color w:val="000000" w:themeColor="text1"/>
        </w:rPr>
        <w:t>Na działalność Komendy Miejskiej Państwowej Straży Pożarnej wydatkowano łącznie 28.828.130 zł (100% planu), w tym wydatki inwestycyjne 159.000 zł. (100%)</w:t>
      </w:r>
    </w:p>
    <w:p w14:paraId="780375F1" w14:textId="77777777" w:rsidR="006673BE" w:rsidRPr="00F10F62" w:rsidRDefault="006673BE" w:rsidP="006673BE">
      <w:pPr>
        <w:ind w:firstLine="708"/>
        <w:jc w:val="both"/>
        <w:rPr>
          <w:color w:val="000000" w:themeColor="text1"/>
        </w:rPr>
      </w:pPr>
      <w:r w:rsidRPr="00F10F62">
        <w:rPr>
          <w:color w:val="000000" w:themeColor="text1"/>
        </w:rPr>
        <w:t xml:space="preserve">Na działalność Straży Miejskiej wydatkowano 12.488.463 zł, tj. 96,7% planu. </w:t>
      </w:r>
    </w:p>
    <w:p w14:paraId="37D09EFB" w14:textId="77777777" w:rsidR="006673BE" w:rsidRPr="00F10F62" w:rsidRDefault="006673BE" w:rsidP="006673BE">
      <w:pPr>
        <w:ind w:firstLine="708"/>
        <w:jc w:val="both"/>
        <w:rPr>
          <w:color w:val="000000" w:themeColor="text1"/>
        </w:rPr>
      </w:pPr>
      <w:r w:rsidRPr="00F10F62">
        <w:rPr>
          <w:color w:val="000000" w:themeColor="text1"/>
        </w:rPr>
        <w:t>W 2024 roku bieżące wydatki na zadania oświatowe wyniosły 844 042 519 zł.  58,4% zostało pokryte z subwencji oświatowej, a 8,1% z dotacji i innych środków zewnętrznych. Gdynia sfinansowała z własnych środków 33,7% ogółu wydatków na realizację zadań z zakresu oświaty tj. 285 066 353 zł, w tym 33,5% wydatków bieżących tj. 282 693 634 zł. Komisja ocenia, że wydatki oświaty realizowane były prawidłowo.</w:t>
      </w:r>
    </w:p>
    <w:p w14:paraId="596FC38C" w14:textId="77777777" w:rsidR="006673BE" w:rsidRPr="00F10F62" w:rsidRDefault="006673BE" w:rsidP="006673BE">
      <w:pPr>
        <w:ind w:firstLine="708"/>
        <w:jc w:val="both"/>
        <w:rPr>
          <w:color w:val="000000" w:themeColor="text1"/>
        </w:rPr>
      </w:pPr>
      <w:r w:rsidRPr="00F10F62">
        <w:rPr>
          <w:color w:val="000000" w:themeColor="text1"/>
        </w:rPr>
        <w:t>Na ochronę zdrowia wydano 17 743 384 zł, tj. 76,9% planu, w tym na realizację programów polityki zdrowotnej 1.320.795, tj. 75,7% planu, a na zadania z zakresu przeciwdziałania alkoholizmowi 11.121.453 zł tj. 70,6% planu oraz na zwalczanie narkomanii wydatkowano kwotę 894.620 zł tj. 96,5% planu.</w:t>
      </w:r>
    </w:p>
    <w:p w14:paraId="34CBE1C3" w14:textId="77777777" w:rsidR="006673BE" w:rsidRPr="00F10F62" w:rsidRDefault="006673BE" w:rsidP="006673BE">
      <w:pPr>
        <w:ind w:firstLine="720"/>
        <w:jc w:val="both"/>
        <w:rPr>
          <w:color w:val="000000" w:themeColor="text1"/>
        </w:rPr>
      </w:pPr>
      <w:r w:rsidRPr="00F10F62">
        <w:rPr>
          <w:color w:val="000000" w:themeColor="text1"/>
        </w:rPr>
        <w:t xml:space="preserve">Na pomoc społeczną, zadania z zakresu polityki społecznej wydatkowano w 2024r. 147 823 283  zł (94,7%). </w:t>
      </w:r>
    </w:p>
    <w:p w14:paraId="0CA0B7C8" w14:textId="77777777" w:rsidR="006673BE" w:rsidRPr="00F10F62" w:rsidRDefault="006673BE" w:rsidP="006673BE">
      <w:pPr>
        <w:ind w:firstLine="720"/>
        <w:jc w:val="both"/>
        <w:rPr>
          <w:color w:val="000000" w:themeColor="text1"/>
        </w:rPr>
      </w:pPr>
      <w:r w:rsidRPr="00F10F62">
        <w:rPr>
          <w:color w:val="000000" w:themeColor="text1"/>
        </w:rPr>
        <w:t>Domy pomocy społecznej – wykonano 99,7% planu – 21.108.074 zł, w tym na utrzymanie Domu Pomocy Społecznej przy ul. Pawiej wydatkowano 7.378.807 zł, z czego z dotacji z budżetu państwa 632.606 zł.</w:t>
      </w:r>
    </w:p>
    <w:p w14:paraId="0CB72124" w14:textId="77777777" w:rsidR="006673BE" w:rsidRPr="00F10F62" w:rsidRDefault="006673BE" w:rsidP="006673BE">
      <w:pPr>
        <w:ind w:firstLine="708"/>
        <w:jc w:val="both"/>
        <w:rPr>
          <w:color w:val="000000" w:themeColor="text1"/>
        </w:rPr>
      </w:pPr>
      <w:r w:rsidRPr="00F10F62">
        <w:rPr>
          <w:color w:val="000000" w:themeColor="text1"/>
        </w:rPr>
        <w:t>Na wypłaty dodatków mieszkaniowych wydatkowano 12.105.829 zł. Średni miesięczny dodatek mieszkaniowy w 2024 r. wyniósł 419,34 zł (w 2023 r. – 407,51 zł).</w:t>
      </w:r>
    </w:p>
    <w:p w14:paraId="687F1F5E" w14:textId="77777777" w:rsidR="006673BE" w:rsidRPr="00F10F62" w:rsidRDefault="006673BE" w:rsidP="006673BE">
      <w:pPr>
        <w:ind w:firstLine="708"/>
        <w:jc w:val="both"/>
        <w:rPr>
          <w:color w:val="000000" w:themeColor="text1"/>
        </w:rPr>
      </w:pPr>
      <w:r w:rsidRPr="00F10F62">
        <w:rPr>
          <w:color w:val="000000" w:themeColor="text1"/>
        </w:rPr>
        <w:t>Na działalność ośrodków wsparcia wydatkowano w 2024r. 24.721.083 zł, tj. 97,5% planu.</w:t>
      </w:r>
    </w:p>
    <w:p w14:paraId="6FE34950" w14:textId="77777777" w:rsidR="006673BE" w:rsidRPr="00F10F62" w:rsidRDefault="006673BE" w:rsidP="006673BE">
      <w:pPr>
        <w:ind w:firstLine="720"/>
        <w:jc w:val="both"/>
        <w:rPr>
          <w:color w:val="000000" w:themeColor="text1"/>
        </w:rPr>
      </w:pPr>
      <w:r w:rsidRPr="00F10F62">
        <w:rPr>
          <w:color w:val="000000" w:themeColor="text1"/>
        </w:rPr>
        <w:t>Na działalność różnego typu placówek opiekuńczo – wychowawczych w 2024 roku miasto wydatkowało 11.883.731 zł (88,4%), a na funkcjonowanie rodzin zastępczych – 16.769.277 zł (93,7%). Funkcjonowanie żłobków kosztowało miasto 16.876.241 (98,5%).</w:t>
      </w:r>
    </w:p>
    <w:p w14:paraId="7D807F0A" w14:textId="77777777" w:rsidR="006673BE" w:rsidRPr="00F10F62" w:rsidRDefault="006673BE" w:rsidP="006673BE">
      <w:pPr>
        <w:ind w:firstLine="708"/>
        <w:jc w:val="both"/>
        <w:rPr>
          <w:color w:val="000000" w:themeColor="text1"/>
        </w:rPr>
      </w:pPr>
      <w:r w:rsidRPr="00F10F62">
        <w:rPr>
          <w:color w:val="000000" w:themeColor="text1"/>
        </w:rPr>
        <w:t xml:space="preserve">Udział wydatków miasta na opiekę społeczną (w tym pomoc społeczną, rodzinę oraz pozostałe zadania w zakresie polityki społecznej) świadczy o zaangażowaniu władz miasta w zapewnienie bezpieczeństwa bytowego i właściwego poziomu życia mieszkańców. </w:t>
      </w:r>
    </w:p>
    <w:p w14:paraId="4596A1F0" w14:textId="77777777" w:rsidR="006673BE" w:rsidRPr="00F10F62" w:rsidRDefault="006673BE" w:rsidP="006673BE">
      <w:pPr>
        <w:ind w:firstLine="708"/>
        <w:jc w:val="both"/>
        <w:rPr>
          <w:color w:val="000000" w:themeColor="text1"/>
        </w:rPr>
      </w:pPr>
      <w:r w:rsidRPr="00F10F62">
        <w:rPr>
          <w:color w:val="000000" w:themeColor="text1"/>
        </w:rPr>
        <w:t xml:space="preserve">Na zadania z zakresu gospodarki komunalnej i ochrony środowiska wydatkowano kwotę 200 325 785 zł tj. 80,7% planu. Zadania z zakresu gospodarki ściekowej i ochrony wód kosztowały miasto 11.054.536 zł, tj. 91,0% planu, z tego wydatki inwestycyjne 196.694 zł (30,4% planu). Na zadania związane z gospodarowaniem odpadami komunalnymi wydatkowano 81.163.221 zł (71,6% planu). </w:t>
      </w:r>
    </w:p>
    <w:p w14:paraId="3ECF3F0B" w14:textId="77777777" w:rsidR="006673BE" w:rsidRPr="00F10F62" w:rsidRDefault="006673BE" w:rsidP="006673BE">
      <w:pPr>
        <w:ind w:firstLine="720"/>
        <w:jc w:val="both"/>
        <w:rPr>
          <w:color w:val="000000" w:themeColor="text1"/>
        </w:rPr>
      </w:pPr>
      <w:r w:rsidRPr="00F10F62">
        <w:rPr>
          <w:color w:val="000000" w:themeColor="text1"/>
        </w:rPr>
        <w:t>W roku 2024, pierwszy raz w stosunku do poprzednich lat, nie było nadwyżki finansowej w systemie gospodarki odpadami komunalnymi. Różnica między wykonanymi dochodami z tyt. Opłat za gospodarowanie odpadami komunalnymi, a wydatkami wyniosła 3 682 923zł. Dochody z opłat za gospodarowanie odpadami komunalnymi podlegają szczególnym zasadom wynikającym z przepisów ustawy i mogą zostać przeznaczone wyłącznie na zadania wymienione w art.6r ust. 2-2d ww. ustawy</w:t>
      </w:r>
    </w:p>
    <w:p w14:paraId="2FB24E15" w14:textId="77777777" w:rsidR="006673BE" w:rsidRPr="00F10F62" w:rsidRDefault="006673BE" w:rsidP="006673BE">
      <w:pPr>
        <w:ind w:firstLine="708"/>
        <w:jc w:val="both"/>
        <w:rPr>
          <w:color w:val="000000" w:themeColor="text1"/>
        </w:rPr>
      </w:pPr>
      <w:r w:rsidRPr="00F10F62">
        <w:rPr>
          <w:color w:val="000000" w:themeColor="text1"/>
        </w:rPr>
        <w:t>Oczyszczanie miasta kosztowało w 2024r. 19.013.571 zł, tj. 89,3% planowanych środków, a oświetlenie 18.040.281 zł (96,2%).</w:t>
      </w:r>
    </w:p>
    <w:p w14:paraId="666A413C" w14:textId="77777777" w:rsidR="006673BE" w:rsidRPr="00F10F62" w:rsidRDefault="006673BE" w:rsidP="006673BE">
      <w:pPr>
        <w:ind w:firstLine="708"/>
        <w:jc w:val="both"/>
        <w:rPr>
          <w:color w:val="000000" w:themeColor="text1"/>
        </w:rPr>
      </w:pPr>
      <w:r w:rsidRPr="00F10F62">
        <w:rPr>
          <w:color w:val="000000" w:themeColor="text1"/>
        </w:rPr>
        <w:lastRenderedPageBreak/>
        <w:t>Na zadania z zakresu kultury i ochrony dziedzictwa narodowego wydatkowano 74 949 738 zł  (94,6% zaplanowanych środków).</w:t>
      </w:r>
    </w:p>
    <w:p w14:paraId="15559130" w14:textId="77777777" w:rsidR="006673BE" w:rsidRPr="00F10F62" w:rsidRDefault="006673BE" w:rsidP="006673BE">
      <w:pPr>
        <w:ind w:firstLine="708"/>
        <w:jc w:val="both"/>
        <w:rPr>
          <w:color w:val="000000" w:themeColor="text1"/>
        </w:rPr>
      </w:pPr>
      <w:r w:rsidRPr="00F10F62">
        <w:rPr>
          <w:color w:val="000000" w:themeColor="text1"/>
        </w:rPr>
        <w:t>Na zadania z zakresu kultury fizycznej i sportu wydatkowano 58 429 831 zł, tj. 93,5% planu. Wydatki majątkowe w tym dziale wyniosły 22 953 572 zł (87,1% planu). Komisja wysoko ocenia zaangażowanie miasta w upowszechnianie kultury fizycznej oraz  działania zmierzające do modernizacji gdyńskich obiektów sportowych i wyposażenie ich w nowy sprzęt.</w:t>
      </w:r>
    </w:p>
    <w:p w14:paraId="0EAF919E" w14:textId="77777777" w:rsidR="006673BE" w:rsidRPr="00F10F62" w:rsidRDefault="006673BE" w:rsidP="006673BE">
      <w:pPr>
        <w:ind w:firstLine="708"/>
        <w:jc w:val="both"/>
        <w:rPr>
          <w:color w:val="000000" w:themeColor="text1"/>
        </w:rPr>
      </w:pPr>
      <w:r w:rsidRPr="00F10F62">
        <w:rPr>
          <w:color w:val="000000" w:themeColor="text1"/>
        </w:rPr>
        <w:t>Wydatki majątkowe budżetu miasta zrealizowano na poziomie 83,5% planu, na kwotę 204.495.935 zł. Wystąpiły opóźnienia w przygotowaniu projektów inwestycyjnych, przedłużały się procedury przetargowe, brak było też decyzji stosownych władz – zarówno zależnych, jak i niezależnych od miasta. Wszystkie te czynniki spowodowały przesunięcie w czasie pełnego zakresu rzeczowego prowadzonych inwestycji. Uznajemy je jako zasadne i istotne ze względu na prowadzenie znaczących zadań inwestycyjnych o charakterze wieloletnim.</w:t>
      </w:r>
    </w:p>
    <w:p w14:paraId="00721033" w14:textId="77777777" w:rsidR="006673BE" w:rsidRPr="00F10F62" w:rsidRDefault="006673BE" w:rsidP="006673BE">
      <w:pPr>
        <w:ind w:firstLine="708"/>
        <w:jc w:val="both"/>
        <w:rPr>
          <w:color w:val="000000" w:themeColor="text1"/>
        </w:rPr>
      </w:pPr>
      <w:r w:rsidRPr="00F10F62">
        <w:rPr>
          <w:color w:val="000000" w:themeColor="text1"/>
        </w:rPr>
        <w:t>Z planowanej rezerwy ogólnej w wysokości 20.922.560 zł wykorzystano 14.574.829 zł. Wszystkie zadania zrealizowane ze środków tej rezerwy Komisja ocenia jako zasadne i celowe.</w:t>
      </w:r>
    </w:p>
    <w:p w14:paraId="32E4380A" w14:textId="77777777" w:rsidR="006673BE" w:rsidRPr="00F10F62" w:rsidRDefault="006673BE" w:rsidP="006673BE">
      <w:pPr>
        <w:ind w:firstLine="708"/>
        <w:jc w:val="both"/>
        <w:rPr>
          <w:color w:val="000000" w:themeColor="text1"/>
        </w:rPr>
      </w:pPr>
      <w:r w:rsidRPr="00F10F62">
        <w:rPr>
          <w:color w:val="000000" w:themeColor="text1"/>
        </w:rPr>
        <w:t xml:space="preserve">Komisja Rewizyjna uważa, że funkcjonowanie jednostek pomocniczych samorządu, jakimi są rady dzielnic, jest nadal bardzo korzystne dla miasta, ponieważ postulaty i społeczna kontrola sprawowana przez radnych w dzielnicach pomagają lepiej zaspokajać potrzeby mieszkańców. Budżet Rad Dzielnic został wykonany w 2024 roku w 81,7%, na kwotę 2.383.189 zł. </w:t>
      </w:r>
    </w:p>
    <w:p w14:paraId="7846A45C" w14:textId="77777777" w:rsidR="006673BE" w:rsidRPr="00F10F62" w:rsidRDefault="006673BE" w:rsidP="006673BE">
      <w:pPr>
        <w:ind w:firstLine="720"/>
        <w:jc w:val="both"/>
        <w:rPr>
          <w:color w:val="000000" w:themeColor="text1"/>
        </w:rPr>
      </w:pPr>
    </w:p>
    <w:p w14:paraId="491C42C3" w14:textId="77777777" w:rsidR="006673BE" w:rsidRPr="00F10F62" w:rsidRDefault="006673BE" w:rsidP="006673BE">
      <w:pPr>
        <w:ind w:firstLine="720"/>
        <w:jc w:val="both"/>
        <w:rPr>
          <w:color w:val="000000" w:themeColor="text1"/>
        </w:rPr>
      </w:pPr>
      <w:r w:rsidRPr="00F10F62">
        <w:rPr>
          <w:color w:val="000000" w:themeColor="text1"/>
        </w:rPr>
        <w:t xml:space="preserve">Ponadto w roku 2024 na zadania wybrane przez mieszkańców Gdyni w ramach  Budżetu Obywatelskiego wydatkowano 7 071 332 zł (50,3%planowanych środków) </w:t>
      </w:r>
    </w:p>
    <w:p w14:paraId="5C3A1345" w14:textId="77777777" w:rsidR="006673BE" w:rsidRPr="00F10F62" w:rsidRDefault="006673BE" w:rsidP="006673BE">
      <w:pPr>
        <w:ind w:firstLine="708"/>
        <w:jc w:val="both"/>
        <w:rPr>
          <w:color w:val="000000" w:themeColor="text1"/>
        </w:rPr>
      </w:pPr>
      <w:r w:rsidRPr="00F10F62">
        <w:rPr>
          <w:color w:val="000000" w:themeColor="text1"/>
        </w:rPr>
        <w:t>Dla zapewnienia racjonalnego i efektywnego wykorzystania wpływających do budżetu miasta środków Prezydent Miasta dokonywał na bieżąco stosownymi zarządzeniami zmian w budżecie i występował z wnioskami do Rady Miasta o wprowadzenie zmian.</w:t>
      </w:r>
    </w:p>
    <w:p w14:paraId="3B023581" w14:textId="77777777" w:rsidR="006673BE" w:rsidRPr="00AD46DE" w:rsidRDefault="006673BE" w:rsidP="006673BE">
      <w:pPr>
        <w:ind w:firstLine="708"/>
        <w:jc w:val="both"/>
      </w:pPr>
      <w:r w:rsidRPr="00F10F62">
        <w:rPr>
          <w:color w:val="000000" w:themeColor="text1"/>
        </w:rPr>
        <w:t xml:space="preserve">W toku prac Komisji Rewizyjnej w 2024 roku członkowie komisji na bieżąco kontrolowali  wykonywanie budżetu Miasta. W przypadku wątpliwości zwracali się do Prezydenta Miasta o wyjaśnienie lub udzielenie informacji. </w:t>
      </w:r>
      <w:bookmarkEnd w:id="3"/>
    </w:p>
    <w:p w14:paraId="5ECB5DDE" w14:textId="77777777" w:rsidR="006673BE" w:rsidRPr="00AD46DE" w:rsidRDefault="006673BE" w:rsidP="006673BE">
      <w:pPr>
        <w:ind w:firstLine="708"/>
        <w:jc w:val="both"/>
      </w:pPr>
    </w:p>
    <w:p w14:paraId="3ADCFCD8" w14:textId="77777777" w:rsidR="006673BE" w:rsidRPr="00AD46DE" w:rsidRDefault="006673BE" w:rsidP="006673BE">
      <w:pPr>
        <w:spacing w:line="336" w:lineRule="auto"/>
        <w:ind w:firstLine="720"/>
        <w:jc w:val="both"/>
      </w:pPr>
    </w:p>
    <w:p w14:paraId="4ADCB339" w14:textId="77777777" w:rsidR="006673BE" w:rsidRPr="00AD46DE" w:rsidRDefault="006673BE" w:rsidP="006673BE">
      <w:pPr>
        <w:spacing w:line="336" w:lineRule="auto"/>
        <w:ind w:firstLine="720"/>
        <w:jc w:val="both"/>
      </w:pPr>
    </w:p>
    <w:p w14:paraId="0FD479DC" w14:textId="77777777" w:rsidR="006673BE" w:rsidRDefault="006673BE" w:rsidP="006673BE">
      <w:pPr>
        <w:ind w:left="5041"/>
        <w:rPr>
          <w:b/>
          <w:bCs/>
          <w:i/>
          <w:iCs/>
        </w:rPr>
      </w:pPr>
      <w:r w:rsidRPr="00AD46DE">
        <w:rPr>
          <w:b/>
          <w:bCs/>
          <w:i/>
          <w:iCs/>
        </w:rPr>
        <w:t>Przewodniczący Komisji Rewizyjnej</w:t>
      </w:r>
    </w:p>
    <w:p w14:paraId="6553B2D4" w14:textId="77777777" w:rsidR="006673BE" w:rsidRDefault="006673BE" w:rsidP="006673BE">
      <w:pPr>
        <w:ind w:left="5041"/>
        <w:rPr>
          <w:b/>
          <w:bCs/>
          <w:i/>
          <w:iCs/>
        </w:rPr>
      </w:pPr>
    </w:p>
    <w:p w14:paraId="57005AE9" w14:textId="77777777" w:rsidR="006673BE" w:rsidRPr="00AD46DE" w:rsidRDefault="006673BE" w:rsidP="006673BE">
      <w:pPr>
        <w:ind w:left="5041"/>
        <w:jc w:val="right"/>
        <w:rPr>
          <w:b/>
          <w:bCs/>
          <w:i/>
          <w:iCs/>
        </w:rPr>
      </w:pPr>
      <w:r>
        <w:rPr>
          <w:b/>
          <w:bCs/>
          <w:i/>
          <w:iCs/>
        </w:rPr>
        <w:t>Marek Dudziński</w:t>
      </w:r>
      <w:r w:rsidRPr="00AD46DE">
        <w:rPr>
          <w:b/>
          <w:bCs/>
          <w:i/>
          <w:iCs/>
        </w:rPr>
        <w:tab/>
      </w:r>
    </w:p>
    <w:p w14:paraId="43AC8C10" w14:textId="77777777" w:rsidR="006673BE" w:rsidRPr="00AD46DE" w:rsidRDefault="006673BE" w:rsidP="006673BE"/>
    <w:p w14:paraId="4D861F79" w14:textId="77777777" w:rsidR="006673BE" w:rsidRPr="00AD46DE" w:rsidRDefault="006673BE" w:rsidP="006673BE"/>
    <w:p w14:paraId="2D7240BF" w14:textId="77777777" w:rsidR="006673BE" w:rsidRPr="00AD46DE" w:rsidRDefault="006673BE" w:rsidP="006673BE"/>
    <w:p w14:paraId="132AA66C" w14:textId="77777777" w:rsidR="006673BE" w:rsidRPr="00AD46DE" w:rsidRDefault="006673BE" w:rsidP="006673BE"/>
    <w:p w14:paraId="663F3833" w14:textId="77777777" w:rsidR="006673BE" w:rsidRPr="00AD46DE" w:rsidRDefault="006673BE" w:rsidP="006673BE"/>
    <w:p w14:paraId="225BFADC" w14:textId="77777777" w:rsidR="006673BE" w:rsidRDefault="006673BE" w:rsidP="006673BE">
      <w:pPr>
        <w:spacing w:line="360" w:lineRule="auto"/>
        <w:jc w:val="right"/>
        <w:rPr>
          <w:rFonts w:ascii="Cambria" w:hAnsi="Cambria"/>
          <w:b/>
          <w:i/>
        </w:rPr>
      </w:pPr>
    </w:p>
    <w:p w14:paraId="3DB386D7" w14:textId="77777777" w:rsidR="006673BE" w:rsidRPr="00AD46DE" w:rsidRDefault="006673BE" w:rsidP="006673BE">
      <w:pPr>
        <w:spacing w:line="360" w:lineRule="auto"/>
        <w:rPr>
          <w:rFonts w:ascii="Cambria" w:hAnsi="Cambria"/>
          <w:bCs/>
          <w:iCs/>
        </w:rPr>
      </w:pPr>
    </w:p>
    <w:p w14:paraId="2B48B36F" w14:textId="77777777" w:rsidR="006673BE" w:rsidRPr="007F28E7" w:rsidRDefault="006673BE" w:rsidP="006673BE">
      <w:pPr>
        <w:spacing w:line="360" w:lineRule="auto"/>
        <w:jc w:val="right"/>
        <w:rPr>
          <w:rFonts w:ascii="Cambria" w:hAnsi="Cambria"/>
          <w:b/>
          <w:i/>
        </w:rPr>
      </w:pPr>
    </w:p>
    <w:p w14:paraId="1F186E30" w14:textId="77777777" w:rsidR="006673BE" w:rsidRPr="007F28E7" w:rsidRDefault="006673BE" w:rsidP="006673BE">
      <w:pPr>
        <w:spacing w:line="360" w:lineRule="auto"/>
        <w:ind w:right="561"/>
        <w:jc w:val="right"/>
        <w:rPr>
          <w:rFonts w:ascii="Cambria" w:hAnsi="Cambria"/>
          <w:b/>
          <w:i/>
        </w:rPr>
      </w:pPr>
    </w:p>
    <w:p w14:paraId="0747D825" w14:textId="77777777" w:rsidR="006673BE" w:rsidRDefault="006673BE" w:rsidP="006673BE">
      <w:pPr>
        <w:spacing w:line="360" w:lineRule="auto"/>
        <w:ind w:right="561"/>
        <w:jc w:val="right"/>
        <w:rPr>
          <w:b/>
          <w:i/>
        </w:rPr>
      </w:pPr>
    </w:p>
    <w:sectPr w:rsidR="006673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D6C93" w14:textId="77777777" w:rsidR="00D662A6" w:rsidRDefault="00D662A6" w:rsidP="00B516EA">
      <w:r>
        <w:separator/>
      </w:r>
    </w:p>
  </w:endnote>
  <w:endnote w:type="continuationSeparator" w:id="0">
    <w:p w14:paraId="1F52F2F6" w14:textId="77777777" w:rsidR="00D662A6" w:rsidRDefault="00D662A6" w:rsidP="00B5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7B492" w14:textId="77777777" w:rsidR="00D662A6" w:rsidRDefault="00D662A6" w:rsidP="00B516EA">
      <w:r>
        <w:separator/>
      </w:r>
    </w:p>
  </w:footnote>
  <w:footnote w:type="continuationSeparator" w:id="0">
    <w:p w14:paraId="24B45051" w14:textId="77777777" w:rsidR="00D662A6" w:rsidRDefault="00D662A6" w:rsidP="00B516EA">
      <w:r>
        <w:continuationSeparator/>
      </w:r>
    </w:p>
  </w:footnote>
  <w:footnote w:id="1">
    <w:p w14:paraId="4568EF31" w14:textId="77777777" w:rsidR="00B516EA" w:rsidRPr="00960CAF" w:rsidRDefault="00B516EA" w:rsidP="00B516EA">
      <w:pPr>
        <w:pStyle w:val="Tekstprzypisudolnego"/>
        <w:rPr>
          <w:rFonts w:ascii="Cambria" w:hAnsi="Cambria"/>
        </w:rPr>
      </w:pPr>
      <w:r>
        <w:rPr>
          <w:rStyle w:val="Odwoanieprzypisudolnego"/>
        </w:rPr>
        <w:footnoteRef/>
      </w:r>
      <w:r>
        <w:t xml:space="preserve"> z</w:t>
      </w:r>
      <w:r w:rsidRPr="00960CAF">
        <w:rPr>
          <w:rFonts w:ascii="Cambria" w:hAnsi="Cambria"/>
        </w:rPr>
        <w:t>m. Dz.U z 2024r. poz. 1572, 1907 i 1940.</w:t>
      </w:r>
    </w:p>
  </w:footnote>
  <w:footnote w:id="2">
    <w:p w14:paraId="65AD096F" w14:textId="77777777" w:rsidR="00B516EA" w:rsidRPr="00960CAF" w:rsidRDefault="00B516EA" w:rsidP="00B516EA">
      <w:pPr>
        <w:pStyle w:val="Tekstprzypisudolnego"/>
        <w:rPr>
          <w:rFonts w:ascii="Cambria" w:hAnsi="Cambria"/>
        </w:rPr>
      </w:pPr>
      <w:r w:rsidRPr="00960CAF">
        <w:rPr>
          <w:rStyle w:val="Odwoanieprzypisudolnego"/>
          <w:rFonts w:ascii="Cambria" w:eastAsiaTheme="majorEastAsia" w:hAnsi="Cambria"/>
        </w:rPr>
        <w:footnoteRef/>
      </w:r>
      <w:r w:rsidRPr="00960CAF">
        <w:rPr>
          <w:rFonts w:ascii="Cambria" w:hAnsi="Cambria"/>
        </w:rPr>
        <w:t xml:space="preserve"> zm. Dz. U. z 2024 r. poz. 1572,1717, 1756, 1907, Dz.U. z 2025r. poz. 39 </w:t>
      </w:r>
    </w:p>
  </w:footnote>
  <w:footnote w:id="3">
    <w:p w14:paraId="3A4FD0F9" w14:textId="77777777" w:rsidR="00B516EA" w:rsidRPr="00A97DBE" w:rsidRDefault="00B516EA" w:rsidP="00B516EA">
      <w:pPr>
        <w:pStyle w:val="Tekstprzypisudolnego"/>
        <w:rPr>
          <w:rFonts w:ascii="Cambria" w:hAnsi="Cambria"/>
        </w:rPr>
      </w:pPr>
      <w:r w:rsidRPr="00960CAF">
        <w:rPr>
          <w:rStyle w:val="Odwoanieprzypisudolnego"/>
          <w:rFonts w:ascii="Cambria" w:eastAsiaTheme="majorEastAsia" w:hAnsi="Cambria"/>
        </w:rPr>
        <w:footnoteRef/>
      </w:r>
      <w:r w:rsidRPr="00960CAF">
        <w:rPr>
          <w:rFonts w:ascii="Cambria" w:hAnsi="Cambria"/>
        </w:rPr>
        <w:t xml:space="preserve"> zm. Dz. Urz. Woj. Pom. z 2021 r., poz. 1,z 2025r. poz. 81 i  502</w:t>
      </w:r>
      <w:r>
        <w:rPr>
          <w:rFonts w:ascii="Cambria" w:hAnsi="Cambria"/>
        </w:rPr>
        <w:t>.</w:t>
      </w:r>
    </w:p>
  </w:footnote>
  <w:footnote w:id="4">
    <w:p w14:paraId="7159E388" w14:textId="296FFB4B" w:rsidR="009271A2" w:rsidRPr="00960CAF" w:rsidRDefault="009271A2" w:rsidP="009271A2">
      <w:pPr>
        <w:pStyle w:val="Tekstprzypisudolnego"/>
        <w:rPr>
          <w:rFonts w:ascii="Cambria" w:hAnsi="Cambr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824D9"/>
    <w:multiLevelType w:val="hybridMultilevel"/>
    <w:tmpl w:val="7F58F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762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EA"/>
    <w:rsid w:val="0004399D"/>
    <w:rsid w:val="00063D6C"/>
    <w:rsid w:val="00092609"/>
    <w:rsid w:val="001B1CFF"/>
    <w:rsid w:val="001F4FC3"/>
    <w:rsid w:val="0027361C"/>
    <w:rsid w:val="002E0A0D"/>
    <w:rsid w:val="003973EB"/>
    <w:rsid w:val="00410901"/>
    <w:rsid w:val="004E5BF0"/>
    <w:rsid w:val="00557DF5"/>
    <w:rsid w:val="006673BE"/>
    <w:rsid w:val="006F13EC"/>
    <w:rsid w:val="007344C1"/>
    <w:rsid w:val="009271A2"/>
    <w:rsid w:val="00B516EA"/>
    <w:rsid w:val="00D662A6"/>
    <w:rsid w:val="00F430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BEA8"/>
  <w15:chartTrackingRefBased/>
  <w15:docId w15:val="{EACB1CA4-8BA6-42C2-A3B1-6A62AD3F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16EA"/>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B516E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B516E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B516E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B516E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B516EA"/>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B516EA"/>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B516EA"/>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B516EA"/>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B516EA"/>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516E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516E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516E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516E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516E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516E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516E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516E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516EA"/>
    <w:rPr>
      <w:rFonts w:eastAsiaTheme="majorEastAsia" w:cstheme="majorBidi"/>
      <w:color w:val="272727" w:themeColor="text1" w:themeTint="D8"/>
    </w:rPr>
  </w:style>
  <w:style w:type="paragraph" w:styleId="Tytu">
    <w:name w:val="Title"/>
    <w:basedOn w:val="Normalny"/>
    <w:next w:val="Normalny"/>
    <w:link w:val="TytuZnak"/>
    <w:uiPriority w:val="10"/>
    <w:qFormat/>
    <w:rsid w:val="00B516E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B516E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516E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B516E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516EA"/>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B516EA"/>
    <w:rPr>
      <w:i/>
      <w:iCs/>
      <w:color w:val="404040" w:themeColor="text1" w:themeTint="BF"/>
    </w:rPr>
  </w:style>
  <w:style w:type="paragraph" w:styleId="Akapitzlist">
    <w:name w:val="List Paragraph"/>
    <w:basedOn w:val="Normalny"/>
    <w:uiPriority w:val="34"/>
    <w:qFormat/>
    <w:rsid w:val="00B516EA"/>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Wyrnienieintensywne">
    <w:name w:val="Intense Emphasis"/>
    <w:basedOn w:val="Domylnaczcionkaakapitu"/>
    <w:uiPriority w:val="21"/>
    <w:qFormat/>
    <w:rsid w:val="00B516EA"/>
    <w:rPr>
      <w:i/>
      <w:iCs/>
      <w:color w:val="0F4761" w:themeColor="accent1" w:themeShade="BF"/>
    </w:rPr>
  </w:style>
  <w:style w:type="paragraph" w:styleId="Cytatintensywny">
    <w:name w:val="Intense Quote"/>
    <w:basedOn w:val="Normalny"/>
    <w:next w:val="Normalny"/>
    <w:link w:val="CytatintensywnyZnak"/>
    <w:uiPriority w:val="30"/>
    <w:qFormat/>
    <w:rsid w:val="00B516E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B516EA"/>
    <w:rPr>
      <w:i/>
      <w:iCs/>
      <w:color w:val="0F4761" w:themeColor="accent1" w:themeShade="BF"/>
    </w:rPr>
  </w:style>
  <w:style w:type="character" w:styleId="Odwoanieintensywne">
    <w:name w:val="Intense Reference"/>
    <w:basedOn w:val="Domylnaczcionkaakapitu"/>
    <w:uiPriority w:val="32"/>
    <w:qFormat/>
    <w:rsid w:val="00B516EA"/>
    <w:rPr>
      <w:b/>
      <w:bCs/>
      <w:smallCaps/>
      <w:color w:val="0F4761" w:themeColor="accent1" w:themeShade="BF"/>
      <w:spacing w:val="5"/>
    </w:rPr>
  </w:style>
  <w:style w:type="paragraph" w:styleId="Tekstprzypisudolnego">
    <w:name w:val="footnote text"/>
    <w:basedOn w:val="Normalny"/>
    <w:link w:val="TekstprzypisudolnegoZnak"/>
    <w:semiHidden/>
    <w:rsid w:val="00B516EA"/>
    <w:rPr>
      <w:sz w:val="20"/>
      <w:szCs w:val="20"/>
    </w:rPr>
  </w:style>
  <w:style w:type="character" w:customStyle="1" w:styleId="TekstprzypisudolnegoZnak">
    <w:name w:val="Tekst przypisu dolnego Znak"/>
    <w:basedOn w:val="Domylnaczcionkaakapitu"/>
    <w:link w:val="Tekstprzypisudolnego"/>
    <w:semiHidden/>
    <w:rsid w:val="00B516EA"/>
    <w:rPr>
      <w:rFonts w:ascii="Times New Roman" w:eastAsia="Times New Roman" w:hAnsi="Times New Roman" w:cs="Times New Roman"/>
      <w:kern w:val="0"/>
      <w:sz w:val="20"/>
      <w:szCs w:val="20"/>
      <w:lang w:eastAsia="pl-PL"/>
      <w14:ligatures w14:val="none"/>
    </w:rPr>
  </w:style>
  <w:style w:type="character" w:styleId="Odwoanieprzypisudolnego">
    <w:name w:val="footnote reference"/>
    <w:basedOn w:val="Domylnaczcionkaakapitu"/>
    <w:semiHidden/>
    <w:rsid w:val="00B516EA"/>
    <w:rPr>
      <w:vertAlign w:val="superscript"/>
    </w:rPr>
  </w:style>
  <w:style w:type="paragraph" w:styleId="Tekstprzypisukocowego">
    <w:name w:val="endnote text"/>
    <w:basedOn w:val="Normalny"/>
    <w:link w:val="TekstprzypisukocowegoZnak"/>
    <w:uiPriority w:val="99"/>
    <w:semiHidden/>
    <w:unhideWhenUsed/>
    <w:rsid w:val="009271A2"/>
    <w:rPr>
      <w:sz w:val="20"/>
      <w:szCs w:val="20"/>
    </w:rPr>
  </w:style>
  <w:style w:type="character" w:customStyle="1" w:styleId="TekstprzypisukocowegoZnak">
    <w:name w:val="Tekst przypisu końcowego Znak"/>
    <w:basedOn w:val="Domylnaczcionkaakapitu"/>
    <w:link w:val="Tekstprzypisukocowego"/>
    <w:uiPriority w:val="99"/>
    <w:semiHidden/>
    <w:rsid w:val="009271A2"/>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9271A2"/>
    <w:rPr>
      <w:vertAlign w:val="superscript"/>
    </w:rPr>
  </w:style>
  <w:style w:type="paragraph" w:customStyle="1" w:styleId="Default">
    <w:name w:val="Default"/>
    <w:rsid w:val="0027361C"/>
    <w:pPr>
      <w:autoSpaceDE w:val="0"/>
      <w:autoSpaceDN w:val="0"/>
      <w:adjustRightInd w:val="0"/>
      <w:spacing w:after="0" w:line="240" w:lineRule="auto"/>
    </w:pPr>
    <w:rPr>
      <w:rFonts w:ascii="Calibri" w:eastAsia="Times New Roman" w:hAnsi="Calibri" w:cs="Calibri"/>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2334</Words>
  <Characters>14006</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AWIS Sp. z o.o.</dc:creator>
  <cp:keywords/>
  <dc:description/>
  <cp:lastModifiedBy>Katarzyna Manikowska</cp:lastModifiedBy>
  <cp:revision>7</cp:revision>
  <dcterms:created xsi:type="dcterms:W3CDTF">2025-05-16T05:37:00Z</dcterms:created>
  <dcterms:modified xsi:type="dcterms:W3CDTF">2025-05-20T07:07:00Z</dcterms:modified>
</cp:coreProperties>
</file>